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53AB" w14:textId="38944595" w:rsidR="00E44FC4" w:rsidRPr="00D5532C" w:rsidRDefault="00E44FC4" w:rsidP="00963F09">
      <w:pPr>
        <w:ind w:left="2124"/>
        <w:rPr>
          <w:rFonts w:ascii="Verdana" w:hAnsi="Verdana" w:cs="AvenirLTStd-Medium"/>
          <w:b/>
          <w:noProof/>
          <w:color w:val="000080"/>
          <w:sz w:val="18"/>
          <w:szCs w:val="18"/>
        </w:rPr>
      </w:pPr>
      <w:bookmarkStart w:id="0" w:name="_GoBack"/>
      <w:bookmarkEnd w:id="0"/>
      <w:r w:rsidRPr="00D5532C">
        <w:rPr>
          <w:rFonts w:ascii="Verdana" w:hAnsi="Verdana" w:cs="AvenirLTStd-Medium"/>
          <w:b/>
          <w:noProof/>
          <w:color w:val="000080"/>
          <w:sz w:val="18"/>
          <w:szCs w:val="18"/>
          <w:lang w:eastAsia="nl-NL"/>
        </w:rPr>
        <w:drawing>
          <wp:inline distT="0" distB="0" distL="0" distR="0" wp14:anchorId="232C8D11" wp14:editId="7F2C7B6C">
            <wp:extent cx="2608028" cy="2366479"/>
            <wp:effectExtent l="0" t="0" r="1905" b="0"/>
            <wp:docPr id="1" name="Afbeelding 1" descr="X:\SOON Algemeen\Organisatie SOON\SOON huisstijl\1 Huisstijl INPETTO\Logo\SOON_logo_ zonder tekst\logo_SOONzonder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OON Algemeen\Organisatie SOON\SOON huisstijl\1 Huisstijl INPETTO\Logo\SOON_logo_ zonder tekst\logo_SOONzonder_300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166" cy="2462787"/>
                    </a:xfrm>
                    <a:prstGeom prst="rect">
                      <a:avLst/>
                    </a:prstGeom>
                    <a:noFill/>
                    <a:ln>
                      <a:noFill/>
                    </a:ln>
                  </pic:spPr>
                </pic:pic>
              </a:graphicData>
            </a:graphic>
          </wp:inline>
        </w:drawing>
      </w:r>
    </w:p>
    <w:p w14:paraId="36F99FC3" w14:textId="77777777" w:rsidR="00E44FC4" w:rsidRPr="00D5532C" w:rsidRDefault="00E44FC4" w:rsidP="00E44FC4">
      <w:pPr>
        <w:jc w:val="center"/>
        <w:rPr>
          <w:rFonts w:ascii="Verdana" w:hAnsi="Verdana" w:cs="AvenirLTStd-Medium"/>
          <w:b/>
          <w:noProof/>
          <w:color w:val="005597"/>
          <w:sz w:val="48"/>
          <w:szCs w:val="48"/>
        </w:rPr>
      </w:pPr>
      <w:r w:rsidRPr="00D5532C">
        <w:rPr>
          <w:rFonts w:ascii="Verdana" w:hAnsi="Verdana" w:cs="AvenirLTStd-Medium"/>
          <w:b/>
          <w:noProof/>
          <w:color w:val="005597"/>
          <w:sz w:val="48"/>
          <w:szCs w:val="48"/>
        </w:rPr>
        <w:t xml:space="preserve">METIS Kwaliteitssysteem </w:t>
      </w:r>
    </w:p>
    <w:p w14:paraId="2172D11C" w14:textId="77777777" w:rsidR="00E44FC4" w:rsidRPr="00D5532C" w:rsidRDefault="00E44FC4" w:rsidP="00E44FC4">
      <w:pPr>
        <w:jc w:val="center"/>
        <w:rPr>
          <w:rFonts w:ascii="Verdana" w:hAnsi="Verdana" w:cs="AvenirLTStd-Medium"/>
          <w:b/>
          <w:noProof/>
          <w:color w:val="005597"/>
          <w:sz w:val="28"/>
          <w:szCs w:val="28"/>
        </w:rPr>
      </w:pPr>
      <w:r w:rsidRPr="00D5532C">
        <w:rPr>
          <w:rFonts w:ascii="Verdana" w:hAnsi="Verdana" w:cs="AvenirLTStd-Medium"/>
          <w:b/>
          <w:noProof/>
          <w:color w:val="005597"/>
          <w:sz w:val="28"/>
          <w:szCs w:val="28"/>
        </w:rPr>
        <w:t>voor de opleidingen tot Specialist Ouderengeneeskunde</w:t>
      </w:r>
    </w:p>
    <w:p w14:paraId="4CCCEDC5" w14:textId="77777777" w:rsidR="00E44FC4" w:rsidRPr="00D5532C" w:rsidRDefault="00E44FC4" w:rsidP="00E44FC4">
      <w:pPr>
        <w:jc w:val="center"/>
        <w:rPr>
          <w:rFonts w:ascii="Verdana" w:hAnsi="Verdana" w:cs="AvenirLTStd-Medium"/>
          <w:b/>
          <w:noProof/>
          <w:color w:val="000080"/>
          <w:sz w:val="28"/>
          <w:szCs w:val="28"/>
        </w:rPr>
      </w:pPr>
    </w:p>
    <w:p w14:paraId="6CCA8D28" w14:textId="77777777" w:rsidR="00E44FC4" w:rsidRPr="00D5532C" w:rsidRDefault="00E44FC4" w:rsidP="00E44FC4">
      <w:pPr>
        <w:jc w:val="center"/>
        <w:rPr>
          <w:rFonts w:ascii="Verdana" w:hAnsi="Verdana" w:cs="AvenirLTStd-Medium"/>
          <w:b/>
          <w:noProof/>
          <w:color w:val="005597"/>
          <w:sz w:val="28"/>
          <w:szCs w:val="28"/>
        </w:rPr>
      </w:pPr>
    </w:p>
    <w:p w14:paraId="31963BA2" w14:textId="77777777" w:rsidR="00E44FC4" w:rsidRPr="00D5532C" w:rsidRDefault="00E44FC4" w:rsidP="00E44FC4">
      <w:pPr>
        <w:jc w:val="center"/>
        <w:rPr>
          <w:rFonts w:ascii="Verdana" w:hAnsi="Verdana" w:cs="AvenirLTStd-Medium"/>
          <w:b/>
          <w:noProof/>
          <w:color w:val="005597"/>
          <w:sz w:val="28"/>
          <w:szCs w:val="28"/>
        </w:rPr>
      </w:pPr>
    </w:p>
    <w:p w14:paraId="6B7A7251" w14:textId="77777777" w:rsidR="00E44FC4" w:rsidRPr="00D5532C" w:rsidRDefault="00E44FC4" w:rsidP="00E44FC4">
      <w:pPr>
        <w:jc w:val="center"/>
        <w:rPr>
          <w:rFonts w:ascii="Verdana" w:hAnsi="Verdana" w:cs="AvenirLTStd-Medium"/>
          <w:b/>
          <w:noProof/>
          <w:color w:val="005597"/>
          <w:sz w:val="28"/>
          <w:szCs w:val="28"/>
        </w:rPr>
      </w:pPr>
    </w:p>
    <w:p w14:paraId="53807DAB" w14:textId="77777777" w:rsidR="00E44FC4" w:rsidRDefault="00E44FC4" w:rsidP="00E44FC4">
      <w:pPr>
        <w:jc w:val="center"/>
        <w:rPr>
          <w:rFonts w:ascii="Verdana" w:hAnsi="Verdana" w:cs="AvenirLTStd-Medium"/>
          <w:b/>
          <w:noProof/>
          <w:color w:val="005597"/>
          <w:sz w:val="28"/>
          <w:szCs w:val="28"/>
        </w:rPr>
      </w:pPr>
      <w:r>
        <w:rPr>
          <w:rFonts w:ascii="Verdana" w:hAnsi="Verdana" w:cs="AvenirLTStd-Medium"/>
          <w:b/>
          <w:noProof/>
          <w:color w:val="005597"/>
          <w:sz w:val="28"/>
          <w:szCs w:val="28"/>
        </w:rPr>
        <w:t>REFLECTIE</w:t>
      </w:r>
    </w:p>
    <w:p w14:paraId="0361E6DC" w14:textId="77777777" w:rsidR="00E44FC4" w:rsidRDefault="00E44FC4" w:rsidP="00E44FC4">
      <w:pPr>
        <w:jc w:val="center"/>
        <w:rPr>
          <w:rFonts w:ascii="Verdana" w:hAnsi="Verdana" w:cs="AvenirLTStd-Medium"/>
          <w:b/>
          <w:color w:val="000080"/>
          <w:sz w:val="18"/>
          <w:szCs w:val="18"/>
        </w:rPr>
      </w:pPr>
      <w:r w:rsidRPr="00D5532C">
        <w:rPr>
          <w:rFonts w:ascii="Verdana" w:hAnsi="Verdana" w:cs="AvenirLTStd-Medium"/>
          <w:b/>
          <w:noProof/>
          <w:color w:val="005597"/>
          <w:sz w:val="28"/>
          <w:szCs w:val="28"/>
        </w:rPr>
        <w:t>Domein 2 Academisch niveau</w:t>
      </w:r>
      <w:r w:rsidRPr="00D5532C">
        <w:rPr>
          <w:rFonts w:ascii="Verdana" w:hAnsi="Verdana" w:cs="AvenirLTStd-Medium"/>
          <w:b/>
          <w:color w:val="000080"/>
          <w:sz w:val="18"/>
          <w:szCs w:val="18"/>
        </w:rPr>
        <w:t xml:space="preserve"> </w:t>
      </w:r>
    </w:p>
    <w:p w14:paraId="5DE24250" w14:textId="77777777" w:rsidR="00E44FC4" w:rsidRDefault="00E44FC4" w:rsidP="00E44FC4">
      <w:pPr>
        <w:jc w:val="center"/>
        <w:rPr>
          <w:rFonts w:ascii="Verdana" w:hAnsi="Verdana" w:cs="AvenirLTStd-Medium"/>
          <w:b/>
          <w:color w:val="000080"/>
          <w:sz w:val="18"/>
          <w:szCs w:val="18"/>
        </w:rPr>
      </w:pPr>
    </w:p>
    <w:p w14:paraId="4C16E056" w14:textId="77777777" w:rsidR="00E44FC4" w:rsidRDefault="00E44FC4" w:rsidP="00E44FC4">
      <w:pPr>
        <w:jc w:val="center"/>
        <w:rPr>
          <w:rFonts w:ascii="Verdana" w:hAnsi="Verdana" w:cs="AvenirLTStd-Medium"/>
          <w:b/>
          <w:color w:val="000080"/>
          <w:sz w:val="18"/>
          <w:szCs w:val="18"/>
        </w:rPr>
      </w:pPr>
    </w:p>
    <w:p w14:paraId="24A924F3" w14:textId="77777777" w:rsidR="00E44FC4" w:rsidRPr="00D5532C" w:rsidRDefault="00E44FC4" w:rsidP="00E44FC4">
      <w:pPr>
        <w:jc w:val="center"/>
        <w:rPr>
          <w:rFonts w:ascii="Verdana" w:hAnsi="Verdana" w:cs="AvenirLTStd-Medium"/>
          <w:b/>
          <w:color w:val="000080"/>
          <w:sz w:val="18"/>
          <w:szCs w:val="18"/>
        </w:rPr>
      </w:pPr>
      <w:r>
        <w:rPr>
          <w:rFonts w:ascii="Verdana" w:hAnsi="Verdana" w:cs="AvenirLTStd-Medium"/>
          <w:b/>
          <w:color w:val="000080"/>
          <w:sz w:val="18"/>
          <w:szCs w:val="18"/>
        </w:rPr>
        <w:t>[plaats hier het instituutslogo]</w:t>
      </w:r>
      <w:r w:rsidRPr="00D5532C">
        <w:rPr>
          <w:rFonts w:ascii="Verdana" w:hAnsi="Verdana" w:cs="AvenirLTStd-Medium"/>
          <w:b/>
          <w:color w:val="000080"/>
          <w:sz w:val="18"/>
          <w:szCs w:val="18"/>
        </w:rPr>
        <w:br w:type="page"/>
      </w:r>
    </w:p>
    <w:p w14:paraId="07FB52BA" w14:textId="77777777" w:rsidR="00ED1D19" w:rsidRPr="00831190" w:rsidRDefault="005A198C" w:rsidP="00831190">
      <w:pPr>
        <w:spacing w:after="0"/>
      </w:pPr>
      <w:r>
        <w:rPr>
          <w:b/>
          <w:sz w:val="28"/>
          <w:szCs w:val="28"/>
        </w:rPr>
        <w:lastRenderedPageBreak/>
        <w:t>Domein 2</w:t>
      </w:r>
      <w:r w:rsidR="000E542A" w:rsidRPr="00831190">
        <w:rPr>
          <w:b/>
          <w:sz w:val="28"/>
          <w:szCs w:val="28"/>
        </w:rPr>
        <w:t xml:space="preserve"> </w:t>
      </w:r>
      <w:r>
        <w:rPr>
          <w:b/>
          <w:sz w:val="28"/>
          <w:szCs w:val="28"/>
        </w:rPr>
        <w:t>Academisch niveau</w:t>
      </w:r>
    </w:p>
    <w:p w14:paraId="4FA151E2" w14:textId="77777777" w:rsidR="00AC1069" w:rsidRDefault="00AC1069" w:rsidP="00EC2344">
      <w:pPr>
        <w:spacing w:after="0"/>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264"/>
        <w:gridCol w:w="3667"/>
      </w:tblGrid>
      <w:tr w:rsidR="00D21EB1" w:rsidRPr="00D21EB1" w14:paraId="780C663D" w14:textId="77777777" w:rsidTr="00D64BFA">
        <w:tc>
          <w:tcPr>
            <w:tcW w:w="9108" w:type="dxa"/>
            <w:gridSpan w:val="3"/>
            <w:shd w:val="clear" w:color="auto" w:fill="00FFFF"/>
          </w:tcPr>
          <w:p w14:paraId="57371ACF" w14:textId="77777777" w:rsidR="00D21EB1" w:rsidRPr="00D21EB1" w:rsidRDefault="00D21EB1" w:rsidP="00D64BFA">
            <w:pPr>
              <w:rPr>
                <w:b/>
              </w:rPr>
            </w:pPr>
            <w:r w:rsidRPr="00D21EB1">
              <w:rPr>
                <w:b/>
              </w:rPr>
              <w:t>Domein 2 Academisch Niveau</w:t>
            </w:r>
          </w:p>
        </w:tc>
      </w:tr>
      <w:tr w:rsidR="00D21EB1" w:rsidRPr="00D21EB1" w14:paraId="6F51FD2D" w14:textId="77777777" w:rsidTr="00D64BFA">
        <w:tc>
          <w:tcPr>
            <w:tcW w:w="1999" w:type="dxa"/>
            <w:shd w:val="clear" w:color="auto" w:fill="00FFFF"/>
          </w:tcPr>
          <w:p w14:paraId="0EBB39B5" w14:textId="77777777" w:rsidR="00D21EB1" w:rsidRPr="00D21EB1" w:rsidRDefault="00D21EB1" w:rsidP="00D64BFA">
            <w:pPr>
              <w:rPr>
                <w:b/>
              </w:rPr>
            </w:pPr>
            <w:r w:rsidRPr="00D21EB1">
              <w:rPr>
                <w:b/>
              </w:rPr>
              <w:t>Subdomeinen</w:t>
            </w:r>
          </w:p>
        </w:tc>
        <w:tc>
          <w:tcPr>
            <w:tcW w:w="3329" w:type="dxa"/>
            <w:shd w:val="clear" w:color="auto" w:fill="00FFFF"/>
          </w:tcPr>
          <w:p w14:paraId="3FA19EDC" w14:textId="77777777" w:rsidR="00D21EB1" w:rsidRPr="00D21EB1" w:rsidRDefault="00D21EB1" w:rsidP="00D64BFA">
            <w:pPr>
              <w:rPr>
                <w:b/>
              </w:rPr>
            </w:pPr>
            <w:r w:rsidRPr="00D21EB1">
              <w:rPr>
                <w:b/>
              </w:rPr>
              <w:t>Thema’s</w:t>
            </w:r>
          </w:p>
        </w:tc>
        <w:tc>
          <w:tcPr>
            <w:tcW w:w="3780" w:type="dxa"/>
            <w:tcBorders>
              <w:bottom w:val="single" w:sz="4" w:space="0" w:color="auto"/>
            </w:tcBorders>
            <w:shd w:val="clear" w:color="auto" w:fill="00FFFF"/>
          </w:tcPr>
          <w:p w14:paraId="36582A0D" w14:textId="77777777" w:rsidR="00D21EB1" w:rsidRPr="00D21EB1" w:rsidRDefault="00D21EB1" w:rsidP="00D64BFA">
            <w:pPr>
              <w:rPr>
                <w:b/>
              </w:rPr>
            </w:pPr>
            <w:r w:rsidRPr="00D21EB1">
              <w:rPr>
                <w:b/>
              </w:rPr>
              <w:t>Indicatoren</w:t>
            </w:r>
          </w:p>
        </w:tc>
      </w:tr>
      <w:tr w:rsidR="00D21EB1" w:rsidRPr="00D21EB1" w14:paraId="7CAD5078" w14:textId="77777777" w:rsidTr="00D64BFA">
        <w:tc>
          <w:tcPr>
            <w:tcW w:w="1999" w:type="dxa"/>
          </w:tcPr>
          <w:p w14:paraId="376A99FD" w14:textId="77777777" w:rsidR="00D21EB1" w:rsidRPr="00D21EB1" w:rsidRDefault="00D21EB1" w:rsidP="00D64BFA">
            <w:r w:rsidRPr="00D21EB1">
              <w:rPr>
                <w:rFonts w:eastAsia="AvenirLTStd-Light"/>
              </w:rPr>
              <w:t>2a. Onderwijsprogramma</w:t>
            </w:r>
          </w:p>
        </w:tc>
        <w:tc>
          <w:tcPr>
            <w:tcW w:w="3329" w:type="dxa"/>
          </w:tcPr>
          <w:p w14:paraId="0FA2554E" w14:textId="77777777" w:rsidR="00D21EB1" w:rsidRPr="00D21EB1" w:rsidRDefault="00D21EB1" w:rsidP="00D64BFA">
            <w:pPr>
              <w:rPr>
                <w:rFonts w:eastAsia="AvenirLTStd-Light"/>
              </w:rPr>
            </w:pPr>
            <w:r w:rsidRPr="00D21EB1">
              <w:rPr>
                <w:rFonts w:eastAsia="AvenirLTStd-Light"/>
              </w:rPr>
              <w:t>- Onderwijs aan aios in EBM.</w:t>
            </w:r>
          </w:p>
          <w:p w14:paraId="61AF555E" w14:textId="77777777" w:rsidR="00D21EB1" w:rsidRPr="00D21EB1" w:rsidRDefault="00D21EB1" w:rsidP="00D64BFA"/>
        </w:tc>
        <w:tc>
          <w:tcPr>
            <w:tcW w:w="3780" w:type="dxa"/>
            <w:shd w:val="clear" w:color="auto" w:fill="99CCFF"/>
          </w:tcPr>
          <w:p w14:paraId="1E6AF4A8" w14:textId="77777777" w:rsidR="00D21EB1" w:rsidRPr="00D21EB1" w:rsidRDefault="00D21EB1" w:rsidP="00D64BFA">
            <w:pPr>
              <w:autoSpaceDE w:val="0"/>
              <w:autoSpaceDN w:val="0"/>
              <w:adjustRightInd w:val="0"/>
              <w:rPr>
                <w:rFonts w:eastAsia="AvenirLTStd-Light" w:cs="AvenirLTStd-Light"/>
              </w:rPr>
            </w:pPr>
            <w:r w:rsidRPr="00D21EB1">
              <w:rPr>
                <w:rFonts w:eastAsia="AvenirLTStd-Light" w:cs="AvenirLTStd-Light"/>
              </w:rPr>
              <w:t>2a.1 Onderwijs aios in EBM in alle opleidingsjaren</w:t>
            </w:r>
          </w:p>
          <w:p w14:paraId="08388E07" w14:textId="77777777" w:rsidR="00D21EB1" w:rsidRPr="00D21EB1" w:rsidRDefault="00D21EB1" w:rsidP="00D64BFA">
            <w:pPr>
              <w:autoSpaceDE w:val="0"/>
              <w:autoSpaceDN w:val="0"/>
              <w:adjustRightInd w:val="0"/>
              <w:rPr>
                <w:rFonts w:eastAsia="AvenirLTStd-Light" w:cs="AvenirLTStd-Light"/>
              </w:rPr>
            </w:pPr>
          </w:p>
        </w:tc>
      </w:tr>
      <w:tr w:rsidR="00D21EB1" w:rsidRPr="00D21EB1" w14:paraId="2EABCA82" w14:textId="77777777" w:rsidTr="00D64BFA">
        <w:tc>
          <w:tcPr>
            <w:tcW w:w="1999" w:type="dxa"/>
          </w:tcPr>
          <w:p w14:paraId="1FF51910" w14:textId="77777777" w:rsidR="00D21EB1" w:rsidRPr="00D21EB1" w:rsidRDefault="00D21EB1" w:rsidP="00D64BFA">
            <w:pPr>
              <w:rPr>
                <w:rFonts w:eastAsia="AvenirLTStd-Light"/>
              </w:rPr>
            </w:pPr>
            <w:r w:rsidRPr="00D21EB1">
              <w:rPr>
                <w:rFonts w:eastAsia="AvenirLTStd-Light"/>
              </w:rPr>
              <w:t>2b. Wetenschappelijk</w:t>
            </w:r>
          </w:p>
          <w:p w14:paraId="18CF2BE5" w14:textId="77777777" w:rsidR="00D21EB1" w:rsidRPr="00D21EB1" w:rsidRDefault="00D21EB1" w:rsidP="00D64BFA">
            <w:r w:rsidRPr="00D21EB1">
              <w:rPr>
                <w:rFonts w:eastAsia="AvenirLTStd-Light"/>
              </w:rPr>
              <w:t>onderzoek aios</w:t>
            </w:r>
          </w:p>
        </w:tc>
        <w:tc>
          <w:tcPr>
            <w:tcW w:w="3329" w:type="dxa"/>
          </w:tcPr>
          <w:p w14:paraId="5ED3A2B1" w14:textId="77777777" w:rsidR="00D21EB1" w:rsidRPr="00D21EB1" w:rsidRDefault="00D21EB1" w:rsidP="00D64BFA">
            <w:pPr>
              <w:rPr>
                <w:rFonts w:eastAsia="AvenirLTStd-Light"/>
              </w:rPr>
            </w:pPr>
            <w:r w:rsidRPr="00D21EB1">
              <w:rPr>
                <w:rFonts w:eastAsia="AvenirLTStd-Light"/>
              </w:rPr>
              <w:t>- Faciliteren van wetenschappelijke en onderzoeksactiviteiten voor aios</w:t>
            </w:r>
          </w:p>
          <w:p w14:paraId="78154A79" w14:textId="77777777" w:rsidR="00D21EB1" w:rsidRPr="00D21EB1" w:rsidRDefault="00D21EB1" w:rsidP="00D64BFA"/>
        </w:tc>
        <w:tc>
          <w:tcPr>
            <w:tcW w:w="3780" w:type="dxa"/>
            <w:shd w:val="clear" w:color="auto" w:fill="99CCFF"/>
          </w:tcPr>
          <w:p w14:paraId="63D6EC8E" w14:textId="77777777" w:rsidR="00D21EB1" w:rsidRPr="00D21EB1" w:rsidRDefault="00D21EB1" w:rsidP="00D64BFA">
            <w:pPr>
              <w:autoSpaceDE w:val="0"/>
              <w:autoSpaceDN w:val="0"/>
              <w:adjustRightInd w:val="0"/>
              <w:rPr>
                <w:rFonts w:eastAsia="AvenirLTStd-Light" w:cs="AvenirLTStd-Light"/>
              </w:rPr>
            </w:pPr>
            <w:r w:rsidRPr="00D21EB1">
              <w:rPr>
                <w:rFonts w:eastAsia="AvenirLTStd-Light" w:cs="AvenirLTStd-Light"/>
              </w:rPr>
              <w:t>2b.1 Wetenschappelijk onderzoek als vast onderdeel van de opleiding</w:t>
            </w:r>
          </w:p>
          <w:p w14:paraId="473DF34E" w14:textId="77777777" w:rsidR="00D21EB1" w:rsidRPr="00D21EB1" w:rsidRDefault="00D21EB1" w:rsidP="00D64BFA">
            <w:pPr>
              <w:autoSpaceDE w:val="0"/>
              <w:autoSpaceDN w:val="0"/>
              <w:adjustRightInd w:val="0"/>
              <w:rPr>
                <w:rFonts w:eastAsia="AvenirLTStd-Light" w:cs="AvenirLTStd-Light"/>
              </w:rPr>
            </w:pPr>
            <w:r w:rsidRPr="00D21EB1">
              <w:rPr>
                <w:rFonts w:eastAsia="AvenirLTStd-Light" w:cs="AvenirLTStd-Light"/>
              </w:rPr>
              <w:t>2b.2 Percentage aioto’s in de opleiding</w:t>
            </w:r>
          </w:p>
        </w:tc>
      </w:tr>
      <w:tr w:rsidR="00D21EB1" w:rsidRPr="00D21EB1" w14:paraId="01F84FAD" w14:textId="77777777" w:rsidTr="00D64BFA">
        <w:tc>
          <w:tcPr>
            <w:tcW w:w="1999" w:type="dxa"/>
          </w:tcPr>
          <w:p w14:paraId="0F84A888" w14:textId="77777777" w:rsidR="00D21EB1" w:rsidRPr="00D21EB1" w:rsidRDefault="00D21EB1" w:rsidP="00D64BFA">
            <w:r w:rsidRPr="00D21EB1">
              <w:rPr>
                <w:rFonts w:eastAsia="AvenirLTStd-Light"/>
              </w:rPr>
              <w:t>2c. Opleiders en stafleden</w:t>
            </w:r>
          </w:p>
        </w:tc>
        <w:tc>
          <w:tcPr>
            <w:tcW w:w="3329" w:type="dxa"/>
          </w:tcPr>
          <w:p w14:paraId="6F4231EF" w14:textId="77777777" w:rsidR="00D21EB1" w:rsidRPr="00D21EB1" w:rsidRDefault="00D21EB1" w:rsidP="00D64BFA">
            <w:pPr>
              <w:rPr>
                <w:rFonts w:eastAsia="AvenirLTStd-Light"/>
              </w:rPr>
            </w:pPr>
            <w:r w:rsidRPr="00D21EB1">
              <w:rPr>
                <w:rFonts w:eastAsia="AvenirLTStd-Light"/>
              </w:rPr>
              <w:t>- Scholing in EBM.</w:t>
            </w:r>
          </w:p>
        </w:tc>
        <w:tc>
          <w:tcPr>
            <w:tcW w:w="3780" w:type="dxa"/>
            <w:shd w:val="clear" w:color="auto" w:fill="99CCFF"/>
          </w:tcPr>
          <w:p w14:paraId="78101C67" w14:textId="47CAAFBD" w:rsidR="00D21EB1" w:rsidRDefault="00D21EB1" w:rsidP="00D64BFA">
            <w:pPr>
              <w:autoSpaceDE w:val="0"/>
              <w:autoSpaceDN w:val="0"/>
              <w:adjustRightInd w:val="0"/>
              <w:rPr>
                <w:rFonts w:eastAsia="AvenirLTStd-Light" w:cs="AvenirLTStd-Light"/>
              </w:rPr>
            </w:pPr>
            <w:r w:rsidRPr="00D21EB1">
              <w:rPr>
                <w:rFonts w:eastAsia="AvenirLTStd-Light" w:cs="AvenirLTStd-Light"/>
              </w:rPr>
              <w:t xml:space="preserve">2c.1 Scholing in EBM voor </w:t>
            </w:r>
            <w:r w:rsidR="003B0473">
              <w:rPr>
                <w:rFonts w:eastAsia="AvenirLTStd-Light" w:cs="AvenirLTStd-Light"/>
              </w:rPr>
              <w:t>docenten</w:t>
            </w:r>
            <w:r w:rsidR="003B0473" w:rsidRPr="00D21EB1">
              <w:rPr>
                <w:rFonts w:eastAsia="AvenirLTStd-Light" w:cs="AvenirLTStd-Light"/>
              </w:rPr>
              <w:t xml:space="preserve"> </w:t>
            </w:r>
            <w:r w:rsidRPr="00D21EB1">
              <w:rPr>
                <w:rFonts w:eastAsia="AvenirLTStd-Light" w:cs="AvenirLTStd-Light"/>
              </w:rPr>
              <w:t xml:space="preserve">en </w:t>
            </w:r>
            <w:r w:rsidR="003B0473">
              <w:rPr>
                <w:rFonts w:eastAsia="AvenirLTStd-Light" w:cs="AvenirLTStd-Light"/>
              </w:rPr>
              <w:t xml:space="preserve">wetenschappelijke </w:t>
            </w:r>
            <w:r w:rsidRPr="00D21EB1">
              <w:rPr>
                <w:rFonts w:eastAsia="AvenirLTStd-Light" w:cs="AvenirLTStd-Light"/>
              </w:rPr>
              <w:t>stafleden</w:t>
            </w:r>
          </w:p>
          <w:p w14:paraId="5982976E" w14:textId="4BFE310E" w:rsidR="003B0473" w:rsidRPr="00D21EB1" w:rsidRDefault="003B0473" w:rsidP="003B0473">
            <w:pPr>
              <w:autoSpaceDE w:val="0"/>
              <w:autoSpaceDN w:val="0"/>
              <w:adjustRightInd w:val="0"/>
              <w:rPr>
                <w:rFonts w:eastAsia="AvenirLTStd-Light" w:cs="AvenirLTStd-Light"/>
              </w:rPr>
            </w:pPr>
            <w:r>
              <w:rPr>
                <w:rFonts w:eastAsia="AvenirLTStd-Light" w:cs="AvenirLTStd-Light"/>
              </w:rPr>
              <w:t>2c.2 Scholing in EBM voor opleiders</w:t>
            </w:r>
          </w:p>
        </w:tc>
      </w:tr>
      <w:tr w:rsidR="00D21EB1" w:rsidRPr="00605096" w14:paraId="2953D0BB" w14:textId="77777777" w:rsidTr="00D64BFA">
        <w:tc>
          <w:tcPr>
            <w:tcW w:w="1999" w:type="dxa"/>
          </w:tcPr>
          <w:p w14:paraId="2E1544DD" w14:textId="77777777" w:rsidR="00D21EB1" w:rsidRPr="00D21EB1" w:rsidRDefault="00D21EB1" w:rsidP="00D64BFA">
            <w:pPr>
              <w:rPr>
                <w:rFonts w:eastAsia="AvenirLTStd-Light"/>
              </w:rPr>
            </w:pPr>
            <w:r w:rsidRPr="00D21EB1">
              <w:rPr>
                <w:rFonts w:eastAsia="AvenirLTStd-Light"/>
              </w:rPr>
              <w:t>2d. Wetenschappelijk</w:t>
            </w:r>
          </w:p>
          <w:p w14:paraId="00FFA1CA" w14:textId="77777777" w:rsidR="00D21EB1" w:rsidRPr="00D21EB1" w:rsidRDefault="00D21EB1" w:rsidP="00D64BFA">
            <w:r w:rsidRPr="00D21EB1">
              <w:rPr>
                <w:rFonts w:eastAsia="AvenirLTStd-Light"/>
              </w:rPr>
              <w:t>Klimaat</w:t>
            </w:r>
          </w:p>
        </w:tc>
        <w:tc>
          <w:tcPr>
            <w:tcW w:w="3329" w:type="dxa"/>
          </w:tcPr>
          <w:p w14:paraId="69EE8225" w14:textId="77777777" w:rsidR="00D21EB1" w:rsidRPr="00D21EB1" w:rsidRDefault="00D21EB1" w:rsidP="00D64BFA">
            <w:pPr>
              <w:rPr>
                <w:rFonts w:eastAsia="AvenirLTStd-Light"/>
              </w:rPr>
            </w:pPr>
            <w:r w:rsidRPr="00D21EB1">
              <w:rPr>
                <w:rFonts w:eastAsia="AvenirLTStd-Light"/>
              </w:rPr>
              <w:t>- Betrokkenheid van aios, docenten en opleiders.</w:t>
            </w:r>
          </w:p>
          <w:p w14:paraId="7E03B562" w14:textId="77777777" w:rsidR="00D21EB1" w:rsidRPr="00D21EB1" w:rsidRDefault="00D21EB1" w:rsidP="00D64BFA">
            <w:pPr>
              <w:rPr>
                <w:rFonts w:eastAsia="AvenirLTStd-Light"/>
              </w:rPr>
            </w:pPr>
            <w:r w:rsidRPr="00D21EB1">
              <w:rPr>
                <w:rFonts w:eastAsia="AvenirLTStd-Light"/>
              </w:rPr>
              <w:t>- Betrokkenheid van onderzoekers bij onderwijs.</w:t>
            </w:r>
          </w:p>
          <w:p w14:paraId="6F526423" w14:textId="77777777" w:rsidR="00D21EB1" w:rsidRPr="00D21EB1" w:rsidRDefault="00D21EB1" w:rsidP="00D64BFA">
            <w:r w:rsidRPr="00D21EB1">
              <w:rPr>
                <w:rFonts w:eastAsia="AvenirLTStd-Light"/>
              </w:rPr>
              <w:t>- Integratie van wetenschap in praktijk.</w:t>
            </w:r>
          </w:p>
        </w:tc>
        <w:tc>
          <w:tcPr>
            <w:tcW w:w="3780" w:type="dxa"/>
            <w:shd w:val="clear" w:color="auto" w:fill="99CCFF"/>
          </w:tcPr>
          <w:p w14:paraId="46D8965D" w14:textId="77777777" w:rsidR="00D21EB1" w:rsidRPr="00D21EB1" w:rsidRDefault="00D21EB1" w:rsidP="00D64BFA">
            <w:pPr>
              <w:autoSpaceDE w:val="0"/>
              <w:autoSpaceDN w:val="0"/>
              <w:adjustRightInd w:val="0"/>
              <w:rPr>
                <w:rFonts w:cs="AvenirLTStd-Heavy"/>
                <w:b/>
              </w:rPr>
            </w:pPr>
            <w:r w:rsidRPr="00D21EB1">
              <w:rPr>
                <w:rFonts w:eastAsia="AvenirLTStd-Light" w:cs="AvenirLTStd-Light"/>
              </w:rPr>
              <w:t>2d.1 Betrokkenheid bij relevante wetenschappelijke activiteiten wordt gestimuleerd</w:t>
            </w:r>
          </w:p>
          <w:p w14:paraId="7E0D4D2A" w14:textId="77777777" w:rsidR="00D21EB1" w:rsidRPr="00D21EB1" w:rsidRDefault="00D21EB1" w:rsidP="00D64BFA">
            <w:pPr>
              <w:autoSpaceDE w:val="0"/>
              <w:autoSpaceDN w:val="0"/>
              <w:adjustRightInd w:val="0"/>
              <w:rPr>
                <w:rFonts w:eastAsia="AvenirLTStd-Light" w:cs="AvenirLTStd-Light"/>
              </w:rPr>
            </w:pPr>
            <w:r w:rsidRPr="00D21EB1">
              <w:rPr>
                <w:rFonts w:eastAsia="AvenirLTStd-Light" w:cs="AvenirLTStd-Light"/>
              </w:rPr>
              <w:t>2d.2 Academische leer- en werkomgevingen</w:t>
            </w:r>
          </w:p>
          <w:p w14:paraId="5F564D3A" w14:textId="3D015B15" w:rsidR="00D21EB1" w:rsidRPr="00D21EB1" w:rsidRDefault="00D21EB1" w:rsidP="00D64BFA">
            <w:pPr>
              <w:autoSpaceDE w:val="0"/>
              <w:autoSpaceDN w:val="0"/>
              <w:adjustRightInd w:val="0"/>
              <w:rPr>
                <w:rFonts w:eastAsia="AvenirLTStd-Light" w:cs="AvenirLTStd-Light"/>
              </w:rPr>
            </w:pPr>
            <w:r w:rsidRPr="00D21EB1">
              <w:rPr>
                <w:rFonts w:eastAsia="AvenirLTStd-Light" w:cs="AvenirLTStd-Light"/>
              </w:rPr>
              <w:t>2d.3 Betrokkenheid van onderzoekers van de afdeling bij onderwijs</w:t>
            </w:r>
            <w:r w:rsidR="003B0473">
              <w:rPr>
                <w:rFonts w:eastAsia="AvenirLTStd-Light" w:cs="AvenirLTStd-Light"/>
              </w:rPr>
              <w:t xml:space="preserve"> aan aios</w:t>
            </w:r>
          </w:p>
          <w:p w14:paraId="0CDD8569" w14:textId="77777777" w:rsidR="00D21EB1" w:rsidRPr="00D21EB1" w:rsidRDefault="00D21EB1" w:rsidP="00D64BFA">
            <w:pPr>
              <w:rPr>
                <w:lang w:val="en-GB"/>
              </w:rPr>
            </w:pPr>
            <w:r w:rsidRPr="00D21EB1">
              <w:rPr>
                <w:rFonts w:eastAsia="AvenirLTStd-Light" w:cs="AvenirLTStd-Light"/>
                <w:lang w:val="en-GB"/>
              </w:rPr>
              <w:t>2d.4 Evidence based practise in opleidingsperiodes</w:t>
            </w:r>
          </w:p>
        </w:tc>
      </w:tr>
    </w:tbl>
    <w:p w14:paraId="68B73347" w14:textId="77777777" w:rsidR="00D21EB1" w:rsidRPr="00D21EB1" w:rsidRDefault="00D21EB1" w:rsidP="00EC2344">
      <w:pPr>
        <w:spacing w:after="0"/>
        <w:rPr>
          <w:lang w:val="en-GB"/>
        </w:rPr>
      </w:pPr>
    </w:p>
    <w:p w14:paraId="70077242" w14:textId="77777777" w:rsidR="00D21EB1" w:rsidRPr="00D21EB1" w:rsidRDefault="00D21EB1">
      <w:pPr>
        <w:rPr>
          <w:lang w:val="en-GB"/>
        </w:rPr>
      </w:pPr>
      <w:r w:rsidRPr="00D21EB1">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122"/>
      </w:tblGrid>
      <w:tr w:rsidR="00B437BC" w:rsidRPr="005565F2" w14:paraId="405E4A68" w14:textId="77777777" w:rsidTr="00D64BFA">
        <w:tc>
          <w:tcPr>
            <w:tcW w:w="9122" w:type="dxa"/>
            <w:tcBorders>
              <w:top w:val="single" w:sz="4" w:space="0" w:color="auto"/>
              <w:left w:val="single" w:sz="4" w:space="0" w:color="auto"/>
              <w:bottom w:val="single" w:sz="4" w:space="0" w:color="auto"/>
              <w:right w:val="single" w:sz="4" w:space="0" w:color="auto"/>
            </w:tcBorders>
          </w:tcPr>
          <w:p w14:paraId="71DCD82E" w14:textId="77777777" w:rsidR="00B437BC" w:rsidRPr="005565F2" w:rsidRDefault="00B437BC" w:rsidP="00D64BFA">
            <w:pPr>
              <w:autoSpaceDE w:val="0"/>
              <w:autoSpaceDN w:val="0"/>
              <w:adjustRightInd w:val="0"/>
              <w:rPr>
                <w:rFonts w:ascii="Calibri" w:eastAsia="AvenirLTStd-Light" w:hAnsi="Calibri" w:cs="AvenirLTStd-Light"/>
                <w:b/>
                <w:sz w:val="24"/>
                <w:szCs w:val="24"/>
              </w:rPr>
            </w:pPr>
            <w:r w:rsidRPr="005565F2">
              <w:rPr>
                <w:rFonts w:ascii="Calibri" w:eastAsia="AvenirLTStd-Light" w:hAnsi="Calibri" w:cs="AvenirLTStd-Light"/>
                <w:b/>
                <w:sz w:val="24"/>
                <w:szCs w:val="24"/>
              </w:rPr>
              <w:lastRenderedPageBreak/>
              <w:t>Reflectieverslag</w:t>
            </w:r>
          </w:p>
        </w:tc>
      </w:tr>
      <w:tr w:rsidR="00B437BC" w:rsidRPr="005565F2" w14:paraId="092A179C" w14:textId="77777777" w:rsidTr="00D64BFA">
        <w:tc>
          <w:tcPr>
            <w:tcW w:w="9122" w:type="dxa"/>
            <w:tcBorders>
              <w:top w:val="single" w:sz="4" w:space="0" w:color="auto"/>
              <w:left w:val="single" w:sz="4" w:space="0" w:color="auto"/>
              <w:bottom w:val="single" w:sz="4" w:space="0" w:color="auto"/>
              <w:right w:val="single" w:sz="4" w:space="0" w:color="auto"/>
            </w:tcBorders>
            <w:shd w:val="pct10" w:color="auto" w:fill="auto"/>
          </w:tcPr>
          <w:p w14:paraId="7C594E9F" w14:textId="77777777" w:rsidR="00B437BC" w:rsidRPr="005565F2" w:rsidRDefault="00B437BC" w:rsidP="00D64BFA">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1. Waar presteert de opleiding goed?</w:t>
            </w:r>
          </w:p>
        </w:tc>
      </w:tr>
      <w:tr w:rsidR="00B437BC" w:rsidRPr="005565F2" w14:paraId="41D64356" w14:textId="77777777" w:rsidTr="00D64BFA">
        <w:tc>
          <w:tcPr>
            <w:tcW w:w="9122" w:type="dxa"/>
            <w:tcBorders>
              <w:top w:val="single" w:sz="4" w:space="0" w:color="auto"/>
              <w:left w:val="single" w:sz="4" w:space="0" w:color="auto"/>
              <w:bottom w:val="single" w:sz="4" w:space="0" w:color="auto"/>
              <w:right w:val="single" w:sz="4" w:space="0" w:color="auto"/>
            </w:tcBorders>
          </w:tcPr>
          <w:p w14:paraId="2ED87A3D" w14:textId="77777777" w:rsidR="00B437BC" w:rsidRPr="005565F2" w:rsidRDefault="00B437BC" w:rsidP="00B437BC">
            <w:pPr>
              <w:pStyle w:val="Lijstalinea"/>
              <w:numPr>
                <w:ilvl w:val="0"/>
                <w:numId w:val="11"/>
              </w:numPr>
              <w:autoSpaceDE w:val="0"/>
              <w:autoSpaceDN w:val="0"/>
              <w:adjustRightInd w:val="0"/>
              <w:spacing w:after="0"/>
              <w:rPr>
                <w:rFonts w:ascii="Calibri" w:eastAsia="AvenirLTStd-Light" w:hAnsi="Calibri" w:cs="AvenirLTStd-Light"/>
              </w:rPr>
            </w:pPr>
          </w:p>
        </w:tc>
      </w:tr>
      <w:tr w:rsidR="00B437BC" w:rsidRPr="005565F2" w14:paraId="23AD755B" w14:textId="77777777" w:rsidTr="00D64BFA">
        <w:tc>
          <w:tcPr>
            <w:tcW w:w="9122" w:type="dxa"/>
            <w:tcBorders>
              <w:top w:val="single" w:sz="4" w:space="0" w:color="auto"/>
              <w:left w:val="single" w:sz="4" w:space="0" w:color="auto"/>
              <w:bottom w:val="single" w:sz="4" w:space="0" w:color="auto"/>
              <w:right w:val="single" w:sz="4" w:space="0" w:color="auto"/>
            </w:tcBorders>
            <w:shd w:val="pct10" w:color="auto" w:fill="auto"/>
          </w:tcPr>
          <w:p w14:paraId="53E21787" w14:textId="77777777" w:rsidR="00B437BC" w:rsidRPr="005565F2" w:rsidRDefault="00B437BC" w:rsidP="00D64BFA">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2. Waar presteert de opleiding minder goed?</w:t>
            </w:r>
          </w:p>
        </w:tc>
      </w:tr>
      <w:tr w:rsidR="00B437BC" w:rsidRPr="005565F2" w14:paraId="3A4D7157" w14:textId="77777777" w:rsidTr="00D64BFA">
        <w:tc>
          <w:tcPr>
            <w:tcW w:w="9122" w:type="dxa"/>
            <w:tcBorders>
              <w:top w:val="single" w:sz="4" w:space="0" w:color="auto"/>
              <w:left w:val="single" w:sz="4" w:space="0" w:color="auto"/>
              <w:bottom w:val="single" w:sz="4" w:space="0" w:color="auto"/>
              <w:right w:val="single" w:sz="4" w:space="0" w:color="auto"/>
            </w:tcBorders>
          </w:tcPr>
          <w:p w14:paraId="507BD955" w14:textId="77777777" w:rsidR="00B437BC" w:rsidRPr="005565F2" w:rsidRDefault="00B437BC" w:rsidP="00B437BC">
            <w:pPr>
              <w:pStyle w:val="Lijstalinea"/>
              <w:numPr>
                <w:ilvl w:val="0"/>
                <w:numId w:val="10"/>
              </w:numPr>
              <w:autoSpaceDE w:val="0"/>
              <w:autoSpaceDN w:val="0"/>
              <w:adjustRightInd w:val="0"/>
              <w:spacing w:after="0"/>
              <w:rPr>
                <w:rFonts w:ascii="Calibri" w:eastAsia="AvenirLTStd-Light" w:hAnsi="Calibri" w:cs="AvenirLTStd-Light"/>
              </w:rPr>
            </w:pPr>
          </w:p>
        </w:tc>
      </w:tr>
      <w:tr w:rsidR="00B437BC" w:rsidRPr="008172FB" w14:paraId="0A0DFE25" w14:textId="77777777" w:rsidTr="00D64BFA">
        <w:tc>
          <w:tcPr>
            <w:tcW w:w="9122" w:type="dxa"/>
            <w:tcBorders>
              <w:top w:val="single" w:sz="4" w:space="0" w:color="auto"/>
              <w:left w:val="single" w:sz="4" w:space="0" w:color="auto"/>
              <w:bottom w:val="single" w:sz="4" w:space="0" w:color="auto"/>
              <w:right w:val="single" w:sz="4" w:space="0" w:color="auto"/>
            </w:tcBorders>
            <w:shd w:val="pct10" w:color="auto" w:fill="auto"/>
          </w:tcPr>
          <w:p w14:paraId="4801D9D1" w14:textId="77777777" w:rsidR="00B437BC" w:rsidRPr="005565F2" w:rsidRDefault="00B437BC" w:rsidP="00D64BFA">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 xml:space="preserve">3. </w:t>
            </w:r>
            <w:r>
              <w:rPr>
                <w:rFonts w:ascii="Calibri" w:eastAsia="AvenirLTStd-Light" w:hAnsi="Calibri" w:cs="AvenirLTStd-Light"/>
                <w:i/>
              </w:rPr>
              <w:t>Hoe is</w:t>
            </w:r>
            <w:r w:rsidRPr="005565F2">
              <w:rPr>
                <w:rFonts w:ascii="Calibri" w:eastAsia="AvenirLTStd-Light" w:hAnsi="Calibri" w:cs="AvenirLTStd-Light"/>
                <w:i/>
              </w:rPr>
              <w:t xml:space="preserve"> de</w:t>
            </w:r>
            <w:r>
              <w:rPr>
                <w:rFonts w:ascii="Calibri" w:eastAsia="AvenirLTStd-Light" w:hAnsi="Calibri" w:cs="AvenirLTStd-Light"/>
                <w:i/>
              </w:rPr>
              <w:t xml:space="preserve"> ontwikkeling verlopen van de</w:t>
            </w:r>
            <w:r w:rsidRPr="005565F2">
              <w:rPr>
                <w:rFonts w:ascii="Calibri" w:eastAsia="AvenirLTStd-Light" w:hAnsi="Calibri" w:cs="AvenirLTStd-Light"/>
                <w:i/>
              </w:rPr>
              <w:t xml:space="preserve"> </w:t>
            </w:r>
            <w:r>
              <w:rPr>
                <w:rFonts w:ascii="Calibri" w:eastAsia="AvenirLTStd-Light" w:hAnsi="Calibri" w:cs="AvenirLTStd-Light"/>
                <w:i/>
              </w:rPr>
              <w:t>aandachtspunten</w:t>
            </w:r>
            <w:r w:rsidRPr="005565F2">
              <w:rPr>
                <w:rFonts w:ascii="Calibri" w:eastAsia="AvenirLTStd-Light" w:hAnsi="Calibri" w:cs="AvenirLTStd-Light"/>
                <w:i/>
              </w:rPr>
              <w:t xml:space="preserve"> van de opleiding</w:t>
            </w:r>
            <w:r>
              <w:rPr>
                <w:rFonts w:ascii="Calibri" w:eastAsia="AvenirLTStd-Light" w:hAnsi="Calibri" w:cs="AvenirLTStd-Light"/>
                <w:i/>
              </w:rPr>
              <w:t xml:space="preserve"> t.o.v. de vorige meting van dit domein</w:t>
            </w:r>
            <w:r w:rsidRPr="005565F2">
              <w:rPr>
                <w:rFonts w:ascii="Calibri" w:eastAsia="AvenirLTStd-Light" w:hAnsi="Calibri" w:cs="AvenirLTStd-Light"/>
                <w:i/>
              </w:rPr>
              <w:t>?</w:t>
            </w:r>
            <w:r>
              <w:rPr>
                <w:rFonts w:ascii="Calibri" w:eastAsia="AvenirLTStd-Light" w:hAnsi="Calibri" w:cs="AvenirLTStd-Light"/>
                <w:i/>
              </w:rPr>
              <w:t xml:space="preserve"> (Verbeterplanning)</w:t>
            </w:r>
          </w:p>
        </w:tc>
      </w:tr>
      <w:tr w:rsidR="00B437BC" w:rsidRPr="008172FB" w14:paraId="63FF6097" w14:textId="77777777" w:rsidTr="00D64BFA">
        <w:tc>
          <w:tcPr>
            <w:tcW w:w="9122" w:type="dxa"/>
            <w:tcBorders>
              <w:top w:val="single" w:sz="4" w:space="0" w:color="auto"/>
              <w:left w:val="single" w:sz="4" w:space="0" w:color="auto"/>
              <w:bottom w:val="single" w:sz="4" w:space="0" w:color="auto"/>
              <w:right w:val="single" w:sz="4" w:space="0" w:color="auto"/>
            </w:tcBorders>
          </w:tcPr>
          <w:p w14:paraId="55DB9566" w14:textId="77777777" w:rsidR="00B437BC" w:rsidRPr="005565F2" w:rsidRDefault="00B437BC" w:rsidP="00B437BC">
            <w:pPr>
              <w:pStyle w:val="Lijstalinea"/>
              <w:numPr>
                <w:ilvl w:val="0"/>
                <w:numId w:val="9"/>
              </w:numPr>
              <w:autoSpaceDE w:val="0"/>
              <w:autoSpaceDN w:val="0"/>
              <w:adjustRightInd w:val="0"/>
              <w:spacing w:after="0"/>
              <w:rPr>
                <w:rFonts w:ascii="Calibri" w:eastAsia="AvenirLTStd-Light" w:hAnsi="Calibri" w:cs="AvenirLTStd-Light"/>
              </w:rPr>
            </w:pPr>
          </w:p>
        </w:tc>
      </w:tr>
      <w:tr w:rsidR="00B437BC" w:rsidRPr="009C2294" w14:paraId="6A9458CC" w14:textId="77777777" w:rsidTr="00D64BFA">
        <w:tc>
          <w:tcPr>
            <w:tcW w:w="9122" w:type="dxa"/>
            <w:tcBorders>
              <w:top w:val="single" w:sz="4" w:space="0" w:color="auto"/>
              <w:left w:val="single" w:sz="4" w:space="0" w:color="auto"/>
              <w:bottom w:val="single" w:sz="4" w:space="0" w:color="auto"/>
              <w:right w:val="single" w:sz="4" w:space="0" w:color="auto"/>
            </w:tcBorders>
            <w:shd w:val="pct10" w:color="auto" w:fill="auto"/>
          </w:tcPr>
          <w:p w14:paraId="57296855" w14:textId="77777777" w:rsidR="00B437BC" w:rsidRPr="004310D7" w:rsidRDefault="00B437BC" w:rsidP="00D64BFA">
            <w:pPr>
              <w:autoSpaceDE w:val="0"/>
              <w:autoSpaceDN w:val="0"/>
              <w:adjustRightInd w:val="0"/>
              <w:rPr>
                <w:rFonts w:ascii="Calibri" w:eastAsia="AvenirLTStd-Light" w:hAnsi="Calibri" w:cs="AvenirLTStd-Light"/>
                <w:i/>
              </w:rPr>
            </w:pPr>
            <w:r>
              <w:rPr>
                <w:rFonts w:ascii="Calibri" w:eastAsia="AvenirLTStd-Light" w:hAnsi="Calibri" w:cs="AvenirLTStd-Light"/>
                <w:i/>
              </w:rPr>
              <w:t>4. Welke progressie is waarneembaar?</w:t>
            </w:r>
          </w:p>
        </w:tc>
      </w:tr>
      <w:tr w:rsidR="00B437BC" w:rsidRPr="009C2294" w14:paraId="49CE15FB" w14:textId="77777777" w:rsidTr="00D64BFA">
        <w:tc>
          <w:tcPr>
            <w:tcW w:w="9122" w:type="dxa"/>
            <w:tcBorders>
              <w:top w:val="single" w:sz="4" w:space="0" w:color="auto"/>
              <w:left w:val="single" w:sz="4" w:space="0" w:color="auto"/>
              <w:bottom w:val="single" w:sz="4" w:space="0" w:color="auto"/>
              <w:right w:val="single" w:sz="4" w:space="0" w:color="auto"/>
            </w:tcBorders>
          </w:tcPr>
          <w:p w14:paraId="581F74BB" w14:textId="77777777" w:rsidR="00B437BC" w:rsidRPr="00963F09" w:rsidRDefault="00B437BC" w:rsidP="00B437BC">
            <w:pPr>
              <w:pStyle w:val="Lijstalinea"/>
              <w:numPr>
                <w:ilvl w:val="0"/>
                <w:numId w:val="9"/>
              </w:numPr>
              <w:autoSpaceDE w:val="0"/>
              <w:autoSpaceDN w:val="0"/>
              <w:adjustRightInd w:val="0"/>
              <w:spacing w:after="0"/>
              <w:rPr>
                <w:rFonts w:ascii="Calibri" w:eastAsia="AvenirLTStd-Light" w:hAnsi="Calibri" w:cs="AvenirLTStd-Light"/>
              </w:rPr>
            </w:pPr>
          </w:p>
        </w:tc>
      </w:tr>
      <w:tr w:rsidR="00B437BC" w:rsidRPr="005565F2" w14:paraId="3CEF34C4" w14:textId="77777777" w:rsidTr="00D64BFA">
        <w:tc>
          <w:tcPr>
            <w:tcW w:w="9122" w:type="dxa"/>
            <w:tcBorders>
              <w:top w:val="single" w:sz="4" w:space="0" w:color="auto"/>
              <w:left w:val="single" w:sz="4" w:space="0" w:color="auto"/>
              <w:bottom w:val="single" w:sz="4" w:space="0" w:color="auto"/>
              <w:right w:val="single" w:sz="4" w:space="0" w:color="auto"/>
            </w:tcBorders>
            <w:shd w:val="pct10" w:color="auto" w:fill="auto"/>
          </w:tcPr>
          <w:p w14:paraId="022E152E" w14:textId="77777777" w:rsidR="00B437BC" w:rsidRPr="005565F2" w:rsidRDefault="00B437BC" w:rsidP="00D64BFA">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5. Welke punten zouden we in de komende vijf jaar willen verbeteren?</w:t>
            </w:r>
          </w:p>
        </w:tc>
      </w:tr>
      <w:tr w:rsidR="00B437BC" w:rsidRPr="005565F2" w14:paraId="7B769303" w14:textId="77777777" w:rsidTr="00D64BFA">
        <w:tc>
          <w:tcPr>
            <w:tcW w:w="9122" w:type="dxa"/>
            <w:tcBorders>
              <w:top w:val="single" w:sz="4" w:space="0" w:color="auto"/>
              <w:left w:val="single" w:sz="4" w:space="0" w:color="auto"/>
              <w:bottom w:val="single" w:sz="4" w:space="0" w:color="auto"/>
              <w:right w:val="single" w:sz="4" w:space="0" w:color="auto"/>
            </w:tcBorders>
          </w:tcPr>
          <w:p w14:paraId="3FC81FBE" w14:textId="77777777" w:rsidR="00B437BC" w:rsidRPr="005565F2" w:rsidRDefault="00B437BC" w:rsidP="00B437BC">
            <w:pPr>
              <w:pStyle w:val="Lijstalinea"/>
              <w:numPr>
                <w:ilvl w:val="0"/>
                <w:numId w:val="9"/>
              </w:numPr>
              <w:autoSpaceDE w:val="0"/>
              <w:autoSpaceDN w:val="0"/>
              <w:adjustRightInd w:val="0"/>
              <w:spacing w:after="0"/>
              <w:rPr>
                <w:rFonts w:ascii="Calibri" w:eastAsia="AvenirLTStd-Light" w:hAnsi="Calibri" w:cs="AvenirLTStd-Light"/>
              </w:rPr>
            </w:pPr>
          </w:p>
        </w:tc>
      </w:tr>
      <w:tr w:rsidR="00B437BC" w:rsidRPr="008172FB" w14:paraId="1503A88D" w14:textId="77777777" w:rsidTr="00D64BFA">
        <w:tc>
          <w:tcPr>
            <w:tcW w:w="9122" w:type="dxa"/>
            <w:tcBorders>
              <w:top w:val="single" w:sz="4" w:space="0" w:color="auto"/>
              <w:left w:val="single" w:sz="4" w:space="0" w:color="auto"/>
              <w:bottom w:val="single" w:sz="4" w:space="0" w:color="auto"/>
              <w:right w:val="single" w:sz="4" w:space="0" w:color="auto"/>
            </w:tcBorders>
            <w:shd w:val="pct10" w:color="auto" w:fill="auto"/>
          </w:tcPr>
          <w:p w14:paraId="0EF2D5E0" w14:textId="77777777" w:rsidR="00B437BC" w:rsidRPr="005565F2" w:rsidRDefault="00B437BC" w:rsidP="00D64BFA">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 xml:space="preserve">6. Bij welke punten zouden we hulp willen hebben van andere instituten? </w:t>
            </w:r>
          </w:p>
        </w:tc>
      </w:tr>
      <w:tr w:rsidR="00B437BC" w:rsidRPr="008172FB" w14:paraId="08B09B1B" w14:textId="77777777" w:rsidTr="00D64BFA">
        <w:tc>
          <w:tcPr>
            <w:tcW w:w="9122" w:type="dxa"/>
            <w:tcBorders>
              <w:top w:val="single" w:sz="4" w:space="0" w:color="auto"/>
              <w:left w:val="single" w:sz="4" w:space="0" w:color="auto"/>
              <w:bottom w:val="single" w:sz="4" w:space="0" w:color="auto"/>
              <w:right w:val="single" w:sz="4" w:space="0" w:color="auto"/>
            </w:tcBorders>
          </w:tcPr>
          <w:p w14:paraId="4865E936" w14:textId="77777777" w:rsidR="00B437BC" w:rsidRPr="005565F2" w:rsidRDefault="00B437BC" w:rsidP="00B437BC">
            <w:pPr>
              <w:pStyle w:val="Lijstalinea"/>
              <w:numPr>
                <w:ilvl w:val="0"/>
                <w:numId w:val="9"/>
              </w:numPr>
              <w:autoSpaceDE w:val="0"/>
              <w:autoSpaceDN w:val="0"/>
              <w:adjustRightInd w:val="0"/>
              <w:spacing w:after="0"/>
              <w:rPr>
                <w:rFonts w:ascii="Calibri" w:eastAsia="AvenirLTStd-Light" w:hAnsi="Calibri" w:cs="AvenirLTStd-Light"/>
              </w:rPr>
            </w:pPr>
          </w:p>
        </w:tc>
      </w:tr>
      <w:tr w:rsidR="00B437BC" w:rsidRPr="008172FB" w14:paraId="46E7B4F5" w14:textId="77777777" w:rsidTr="00D64BFA">
        <w:tc>
          <w:tcPr>
            <w:tcW w:w="9122" w:type="dxa"/>
            <w:tcBorders>
              <w:top w:val="single" w:sz="4" w:space="0" w:color="auto"/>
              <w:left w:val="single" w:sz="4" w:space="0" w:color="auto"/>
              <w:bottom w:val="single" w:sz="4" w:space="0" w:color="auto"/>
              <w:right w:val="single" w:sz="4" w:space="0" w:color="auto"/>
            </w:tcBorders>
            <w:shd w:val="pct10" w:color="auto" w:fill="auto"/>
          </w:tcPr>
          <w:p w14:paraId="7A3B1028" w14:textId="77777777" w:rsidR="00B437BC" w:rsidRPr="005565F2" w:rsidRDefault="00B437BC" w:rsidP="00D64BFA">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 xml:space="preserve">7. Met welke punten zouden we andere instituten willen ondersteunen? </w:t>
            </w:r>
          </w:p>
        </w:tc>
      </w:tr>
      <w:tr w:rsidR="00B437BC" w:rsidRPr="008172FB" w14:paraId="611F3FF7" w14:textId="77777777" w:rsidTr="00D64BFA">
        <w:tc>
          <w:tcPr>
            <w:tcW w:w="9122" w:type="dxa"/>
            <w:tcBorders>
              <w:top w:val="single" w:sz="4" w:space="0" w:color="auto"/>
              <w:left w:val="single" w:sz="4" w:space="0" w:color="auto"/>
              <w:bottom w:val="single" w:sz="4" w:space="0" w:color="auto"/>
              <w:right w:val="single" w:sz="4" w:space="0" w:color="auto"/>
            </w:tcBorders>
          </w:tcPr>
          <w:p w14:paraId="42160088" w14:textId="77777777" w:rsidR="00B437BC" w:rsidRPr="005565F2" w:rsidRDefault="00B437BC" w:rsidP="00B437BC">
            <w:pPr>
              <w:pStyle w:val="Lijstalinea"/>
              <w:numPr>
                <w:ilvl w:val="0"/>
                <w:numId w:val="9"/>
              </w:numPr>
              <w:autoSpaceDE w:val="0"/>
              <w:autoSpaceDN w:val="0"/>
              <w:adjustRightInd w:val="0"/>
              <w:spacing w:after="0"/>
              <w:rPr>
                <w:rFonts w:ascii="Calibri" w:eastAsia="AvenirLTStd-Light" w:hAnsi="Calibri" w:cs="AvenirLTStd-Light"/>
              </w:rPr>
            </w:pPr>
          </w:p>
        </w:tc>
      </w:tr>
    </w:tbl>
    <w:p w14:paraId="64DE3909" w14:textId="77777777" w:rsidR="00726332" w:rsidRDefault="00726332">
      <w:pPr>
        <w:rPr>
          <w:rFonts w:ascii="Calibri" w:eastAsia="AvenirLTStd-Light" w:hAnsi="Calibri" w:cs="AvenirLTStd-Light"/>
          <w:b/>
          <w:noProof/>
          <w:sz w:val="24"/>
          <w:szCs w:val="24"/>
        </w:rPr>
      </w:pPr>
    </w:p>
    <w:p w14:paraId="3C3EFBE4" w14:textId="77777777" w:rsidR="00726332" w:rsidRDefault="000A4401">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55"/>
        <w:gridCol w:w="998"/>
        <w:gridCol w:w="1985"/>
        <w:gridCol w:w="1784"/>
      </w:tblGrid>
      <w:tr w:rsidR="000D5388" w:rsidRPr="00E30423" w14:paraId="342BE3FB" w14:textId="77777777" w:rsidTr="00D64BFA">
        <w:tc>
          <w:tcPr>
            <w:tcW w:w="9122" w:type="dxa"/>
            <w:gridSpan w:val="4"/>
            <w:tcBorders>
              <w:top w:val="single" w:sz="4" w:space="0" w:color="auto"/>
              <w:left w:val="single" w:sz="4" w:space="0" w:color="auto"/>
              <w:bottom w:val="single" w:sz="4" w:space="0" w:color="auto"/>
              <w:right w:val="single" w:sz="4" w:space="0" w:color="auto"/>
            </w:tcBorders>
            <w:shd w:val="pct10" w:color="auto" w:fill="auto"/>
          </w:tcPr>
          <w:p w14:paraId="17DA7E4C" w14:textId="77777777" w:rsidR="000D5388" w:rsidRPr="00E30423" w:rsidRDefault="000D5388" w:rsidP="00D64BFA">
            <w:pPr>
              <w:autoSpaceDE w:val="0"/>
              <w:autoSpaceDN w:val="0"/>
              <w:adjustRightInd w:val="0"/>
              <w:spacing w:after="0"/>
              <w:rPr>
                <w:rFonts w:ascii="Calibri" w:eastAsia="AvenirLTStd-Light" w:hAnsi="Calibri" w:cs="AvenirLTStd-Light"/>
                <w:b/>
              </w:rPr>
            </w:pPr>
            <w:r>
              <w:rPr>
                <w:rFonts w:ascii="Calibri" w:eastAsia="AvenirLTStd-Light" w:hAnsi="Calibri" w:cs="AvenirLTStd-Light"/>
                <w:b/>
              </w:rPr>
              <w:lastRenderedPageBreak/>
              <w:t>Verbeterplanning</w:t>
            </w:r>
          </w:p>
        </w:tc>
      </w:tr>
      <w:tr w:rsidR="000D5388" w:rsidRPr="00C66092" w14:paraId="4007D5C4" w14:textId="77777777" w:rsidTr="00D64BFA">
        <w:tc>
          <w:tcPr>
            <w:tcW w:w="4355" w:type="dxa"/>
            <w:tcBorders>
              <w:top w:val="single" w:sz="4" w:space="0" w:color="auto"/>
              <w:left w:val="single" w:sz="4" w:space="0" w:color="auto"/>
              <w:right w:val="nil"/>
            </w:tcBorders>
            <w:shd w:val="pct10" w:color="auto" w:fill="auto"/>
          </w:tcPr>
          <w:p w14:paraId="12D5DAC5" w14:textId="77777777" w:rsidR="000D5388" w:rsidRPr="00C66092" w:rsidRDefault="000D5388" w:rsidP="00D64BFA">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Wat</w:t>
            </w:r>
          </w:p>
        </w:tc>
        <w:tc>
          <w:tcPr>
            <w:tcW w:w="998" w:type="dxa"/>
            <w:tcBorders>
              <w:top w:val="single" w:sz="4" w:space="0" w:color="auto"/>
              <w:left w:val="nil"/>
              <w:right w:val="nil"/>
            </w:tcBorders>
            <w:shd w:val="pct10" w:color="auto" w:fill="auto"/>
          </w:tcPr>
          <w:p w14:paraId="31366F17" w14:textId="77777777" w:rsidR="000D5388" w:rsidRPr="00C66092" w:rsidRDefault="000D5388" w:rsidP="00D64BFA">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Prioriteit</w:t>
            </w:r>
          </w:p>
        </w:tc>
        <w:tc>
          <w:tcPr>
            <w:tcW w:w="1985" w:type="dxa"/>
            <w:tcBorders>
              <w:top w:val="single" w:sz="4" w:space="0" w:color="auto"/>
              <w:left w:val="nil"/>
              <w:bottom w:val="single" w:sz="4" w:space="0" w:color="auto"/>
              <w:right w:val="nil"/>
            </w:tcBorders>
            <w:shd w:val="pct10" w:color="auto" w:fill="auto"/>
          </w:tcPr>
          <w:p w14:paraId="10508FB0" w14:textId="77777777" w:rsidR="000D5388" w:rsidRPr="00C66092" w:rsidRDefault="000D5388" w:rsidP="00D64BFA">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Wie</w:t>
            </w:r>
          </w:p>
        </w:tc>
        <w:tc>
          <w:tcPr>
            <w:tcW w:w="1784" w:type="dxa"/>
            <w:tcBorders>
              <w:top w:val="single" w:sz="4" w:space="0" w:color="auto"/>
              <w:left w:val="nil"/>
              <w:bottom w:val="single" w:sz="4" w:space="0" w:color="auto"/>
              <w:right w:val="single" w:sz="4" w:space="0" w:color="auto"/>
            </w:tcBorders>
            <w:shd w:val="pct10" w:color="auto" w:fill="auto"/>
          </w:tcPr>
          <w:p w14:paraId="7DA50D9A" w14:textId="77777777" w:rsidR="000D5388" w:rsidRPr="00C66092" w:rsidRDefault="000D5388" w:rsidP="00D64BFA">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Wanneer</w:t>
            </w:r>
          </w:p>
        </w:tc>
      </w:tr>
      <w:tr w:rsidR="000D5388" w:rsidRPr="00C66092" w14:paraId="35653F23" w14:textId="77777777" w:rsidTr="00D64BFA">
        <w:tc>
          <w:tcPr>
            <w:tcW w:w="9122" w:type="dxa"/>
            <w:gridSpan w:val="4"/>
            <w:tcBorders>
              <w:top w:val="single" w:sz="4" w:space="0" w:color="auto"/>
              <w:left w:val="single" w:sz="4" w:space="0" w:color="auto"/>
              <w:right w:val="single" w:sz="4" w:space="0" w:color="auto"/>
            </w:tcBorders>
          </w:tcPr>
          <w:p w14:paraId="07A08D9C" w14:textId="77777777" w:rsidR="000D5388" w:rsidRDefault="000D5388" w:rsidP="00D64BFA">
            <w:pPr>
              <w:autoSpaceDE w:val="0"/>
              <w:autoSpaceDN w:val="0"/>
              <w:adjustRightInd w:val="0"/>
              <w:spacing w:after="0"/>
              <w:rPr>
                <w:rFonts w:ascii="Calibri" w:eastAsia="AvenirLTStd-Light" w:hAnsi="Calibri" w:cs="AvenirLTStd-Light"/>
                <w:i/>
              </w:rPr>
            </w:pPr>
          </w:p>
        </w:tc>
      </w:tr>
      <w:tr w:rsidR="000D5388" w:rsidRPr="00C22813" w14:paraId="63ED69AE" w14:textId="77777777" w:rsidTr="00D64BFA">
        <w:tc>
          <w:tcPr>
            <w:tcW w:w="4355" w:type="dxa"/>
            <w:tcBorders>
              <w:left w:val="single" w:sz="4" w:space="0" w:color="auto"/>
              <w:right w:val="single" w:sz="4" w:space="0" w:color="auto"/>
            </w:tcBorders>
          </w:tcPr>
          <w:p w14:paraId="0833F4AA" w14:textId="77777777" w:rsidR="000D5388" w:rsidRPr="00C22813" w:rsidRDefault="000D5388" w:rsidP="00D64BFA">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4C3DD428" w14:textId="77777777" w:rsidR="000D5388" w:rsidRPr="00C22813" w:rsidRDefault="000D5388" w:rsidP="00D64BFA">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7B00D76C" w14:textId="77777777" w:rsidR="000D5388" w:rsidRPr="006C26D5" w:rsidRDefault="000D5388" w:rsidP="00D64BFA">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6A5542B8" w14:textId="77777777" w:rsidR="000D5388" w:rsidRPr="00C22813" w:rsidRDefault="000D5388" w:rsidP="00D64BFA">
            <w:pPr>
              <w:autoSpaceDE w:val="0"/>
              <w:autoSpaceDN w:val="0"/>
              <w:adjustRightInd w:val="0"/>
              <w:spacing w:after="0"/>
              <w:rPr>
                <w:rFonts w:ascii="Calibri" w:eastAsia="AvenirLTStd-Light" w:hAnsi="Calibri" w:cs="AvenirLTStd-Light"/>
              </w:rPr>
            </w:pPr>
          </w:p>
        </w:tc>
      </w:tr>
      <w:tr w:rsidR="000D5388" w:rsidRPr="00C22813" w14:paraId="4178FD46" w14:textId="77777777" w:rsidTr="00D64BFA">
        <w:tc>
          <w:tcPr>
            <w:tcW w:w="4355" w:type="dxa"/>
            <w:tcBorders>
              <w:left w:val="single" w:sz="4" w:space="0" w:color="auto"/>
              <w:right w:val="single" w:sz="4" w:space="0" w:color="auto"/>
            </w:tcBorders>
          </w:tcPr>
          <w:p w14:paraId="25FC1413" w14:textId="77777777" w:rsidR="000D5388" w:rsidRPr="00C22813" w:rsidRDefault="000D5388" w:rsidP="00D64BFA">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529AEAE7" w14:textId="77777777" w:rsidR="000D5388" w:rsidRDefault="000D5388" w:rsidP="00D64BFA">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1C327D22" w14:textId="77777777" w:rsidR="000D5388" w:rsidRDefault="000D5388" w:rsidP="00D64BFA">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57F73354" w14:textId="77777777" w:rsidR="000D5388" w:rsidRPr="005A5F66" w:rsidRDefault="000D5388" w:rsidP="00D64BFA">
            <w:pPr>
              <w:autoSpaceDE w:val="0"/>
              <w:autoSpaceDN w:val="0"/>
              <w:adjustRightInd w:val="0"/>
              <w:spacing w:after="0"/>
              <w:rPr>
                <w:rFonts w:ascii="Calibri" w:eastAsia="AvenirLTStd-Light" w:hAnsi="Calibri" w:cs="AvenirLTStd-Light"/>
              </w:rPr>
            </w:pPr>
          </w:p>
        </w:tc>
      </w:tr>
      <w:tr w:rsidR="000D5388" w:rsidRPr="00C22813" w14:paraId="62686DDC" w14:textId="77777777" w:rsidTr="00D64BFA">
        <w:tc>
          <w:tcPr>
            <w:tcW w:w="4355" w:type="dxa"/>
            <w:tcBorders>
              <w:left w:val="single" w:sz="4" w:space="0" w:color="auto"/>
              <w:right w:val="single" w:sz="4" w:space="0" w:color="auto"/>
            </w:tcBorders>
          </w:tcPr>
          <w:p w14:paraId="59994583" w14:textId="77777777" w:rsidR="000D5388" w:rsidRPr="00C22813" w:rsidRDefault="000D5388" w:rsidP="00D64BFA">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680C9FAF" w14:textId="77777777" w:rsidR="000D5388" w:rsidRDefault="000D5388" w:rsidP="00D64BFA">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4756E865" w14:textId="77777777" w:rsidR="000D5388" w:rsidRDefault="000D5388" w:rsidP="00D64BFA">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6C1E5324" w14:textId="77777777" w:rsidR="000D5388" w:rsidRPr="005A5F66" w:rsidRDefault="000D5388" w:rsidP="00D64BFA">
            <w:pPr>
              <w:autoSpaceDE w:val="0"/>
              <w:autoSpaceDN w:val="0"/>
              <w:adjustRightInd w:val="0"/>
              <w:spacing w:after="0"/>
              <w:rPr>
                <w:rFonts w:ascii="Calibri" w:eastAsia="AvenirLTStd-Light" w:hAnsi="Calibri" w:cs="AvenirLTStd-Light"/>
              </w:rPr>
            </w:pPr>
          </w:p>
        </w:tc>
      </w:tr>
      <w:tr w:rsidR="000D5388" w:rsidRPr="00C22813" w14:paraId="14904EE3" w14:textId="77777777" w:rsidTr="00D64BFA">
        <w:tc>
          <w:tcPr>
            <w:tcW w:w="4355" w:type="dxa"/>
            <w:tcBorders>
              <w:left w:val="single" w:sz="4" w:space="0" w:color="auto"/>
              <w:right w:val="single" w:sz="4" w:space="0" w:color="auto"/>
            </w:tcBorders>
          </w:tcPr>
          <w:p w14:paraId="5B4B6C68" w14:textId="77777777" w:rsidR="000D5388" w:rsidRDefault="000D5388" w:rsidP="00D64BFA">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778AC9AA" w14:textId="77777777" w:rsidR="000D5388" w:rsidRDefault="000D5388" w:rsidP="00D64BFA">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22677093" w14:textId="77777777" w:rsidR="000D5388" w:rsidRDefault="000D5388" w:rsidP="00D64BFA">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75568DF1" w14:textId="77777777" w:rsidR="000D5388" w:rsidRPr="005A5F66" w:rsidRDefault="000D5388" w:rsidP="00D64BFA">
            <w:pPr>
              <w:autoSpaceDE w:val="0"/>
              <w:autoSpaceDN w:val="0"/>
              <w:adjustRightInd w:val="0"/>
              <w:spacing w:after="0"/>
              <w:rPr>
                <w:rFonts w:ascii="Calibri" w:eastAsia="AvenirLTStd-Light" w:hAnsi="Calibri" w:cs="AvenirLTStd-Light"/>
              </w:rPr>
            </w:pPr>
          </w:p>
        </w:tc>
      </w:tr>
      <w:tr w:rsidR="000D5388" w:rsidRPr="00C22813" w14:paraId="2CEE9081" w14:textId="77777777" w:rsidTr="00D64BFA">
        <w:tc>
          <w:tcPr>
            <w:tcW w:w="4355" w:type="dxa"/>
            <w:tcBorders>
              <w:left w:val="single" w:sz="4" w:space="0" w:color="auto"/>
              <w:right w:val="single" w:sz="4" w:space="0" w:color="auto"/>
            </w:tcBorders>
          </w:tcPr>
          <w:p w14:paraId="7F2F295C" w14:textId="77777777" w:rsidR="000D5388" w:rsidRDefault="000D5388" w:rsidP="00D64BFA">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4F52B8E4" w14:textId="77777777" w:rsidR="000D5388" w:rsidRDefault="000D5388" w:rsidP="00D64BFA">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338BD015" w14:textId="77777777" w:rsidR="000D5388" w:rsidRDefault="000D5388" w:rsidP="00D64BFA">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15BA7386" w14:textId="77777777" w:rsidR="000D5388" w:rsidRPr="005A5F66" w:rsidRDefault="000D5388" w:rsidP="00D64BFA">
            <w:pPr>
              <w:autoSpaceDE w:val="0"/>
              <w:autoSpaceDN w:val="0"/>
              <w:adjustRightInd w:val="0"/>
              <w:spacing w:after="0"/>
              <w:rPr>
                <w:rFonts w:ascii="Calibri" w:eastAsia="AvenirLTStd-Light" w:hAnsi="Calibri" w:cs="AvenirLTStd-Light"/>
              </w:rPr>
            </w:pPr>
          </w:p>
        </w:tc>
      </w:tr>
      <w:tr w:rsidR="000D5388" w:rsidRPr="00C22813" w14:paraId="33B8915A" w14:textId="77777777" w:rsidTr="00D64BFA">
        <w:tc>
          <w:tcPr>
            <w:tcW w:w="4355" w:type="dxa"/>
            <w:tcBorders>
              <w:left w:val="single" w:sz="4" w:space="0" w:color="auto"/>
              <w:right w:val="single" w:sz="4" w:space="0" w:color="auto"/>
            </w:tcBorders>
          </w:tcPr>
          <w:p w14:paraId="572A80E0" w14:textId="77777777" w:rsidR="000D5388" w:rsidRDefault="000D5388" w:rsidP="00D64BFA">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149EED51" w14:textId="77777777" w:rsidR="000D5388" w:rsidRDefault="000D5388" w:rsidP="00D64BFA">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3002EB08" w14:textId="77777777" w:rsidR="000D5388" w:rsidRDefault="000D5388" w:rsidP="00D64BFA">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7AFF6AFE" w14:textId="77777777" w:rsidR="000D5388" w:rsidRDefault="000D5388" w:rsidP="00D64BFA">
            <w:pPr>
              <w:autoSpaceDE w:val="0"/>
              <w:autoSpaceDN w:val="0"/>
              <w:adjustRightInd w:val="0"/>
              <w:spacing w:after="0"/>
              <w:rPr>
                <w:rFonts w:ascii="Calibri" w:eastAsia="AvenirLTStd-Light" w:hAnsi="Calibri" w:cs="AvenirLTStd-Light"/>
              </w:rPr>
            </w:pPr>
          </w:p>
        </w:tc>
      </w:tr>
      <w:tr w:rsidR="000D5388" w:rsidRPr="00C22813" w14:paraId="15BE1C3A" w14:textId="77777777" w:rsidTr="00D64BFA">
        <w:tc>
          <w:tcPr>
            <w:tcW w:w="4355" w:type="dxa"/>
            <w:tcBorders>
              <w:left w:val="single" w:sz="4" w:space="0" w:color="auto"/>
              <w:bottom w:val="single" w:sz="4" w:space="0" w:color="auto"/>
              <w:right w:val="single" w:sz="4" w:space="0" w:color="auto"/>
            </w:tcBorders>
          </w:tcPr>
          <w:p w14:paraId="4AAD05EF" w14:textId="77777777" w:rsidR="000D5388" w:rsidRDefault="000D5388" w:rsidP="00D64BFA">
            <w:pPr>
              <w:autoSpaceDE w:val="0"/>
              <w:autoSpaceDN w:val="0"/>
              <w:adjustRightInd w:val="0"/>
              <w:spacing w:after="0"/>
              <w:rPr>
                <w:rFonts w:ascii="Calibri" w:eastAsia="AvenirLTStd-Light" w:hAnsi="Calibri" w:cs="AvenirLTStd-Light"/>
              </w:rPr>
            </w:pPr>
          </w:p>
        </w:tc>
        <w:tc>
          <w:tcPr>
            <w:tcW w:w="998" w:type="dxa"/>
            <w:tcBorders>
              <w:left w:val="single" w:sz="4" w:space="0" w:color="auto"/>
              <w:bottom w:val="single" w:sz="4" w:space="0" w:color="auto"/>
              <w:right w:val="single" w:sz="4" w:space="0" w:color="auto"/>
            </w:tcBorders>
          </w:tcPr>
          <w:p w14:paraId="6AC96C4D" w14:textId="77777777" w:rsidR="000D5388" w:rsidRDefault="000D5388" w:rsidP="00D64BFA">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4C4CB4F1" w14:textId="77777777" w:rsidR="000D5388" w:rsidRDefault="000D5388" w:rsidP="00D64BFA">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35C65BD7" w14:textId="77777777" w:rsidR="000D5388" w:rsidRPr="00066CAA" w:rsidRDefault="000D5388" w:rsidP="00D64BFA">
            <w:pPr>
              <w:autoSpaceDE w:val="0"/>
              <w:autoSpaceDN w:val="0"/>
              <w:adjustRightInd w:val="0"/>
              <w:spacing w:after="0"/>
              <w:rPr>
                <w:rFonts w:ascii="Calibri" w:eastAsia="AvenirLTStd-Light" w:hAnsi="Calibri" w:cs="AvenirLTStd-Light"/>
                <w:spacing w:val="-3"/>
              </w:rPr>
            </w:pPr>
          </w:p>
        </w:tc>
      </w:tr>
    </w:tbl>
    <w:p w14:paraId="29531F9C" w14:textId="6415136C" w:rsidR="00963F09" w:rsidRDefault="00963F09" w:rsidP="00963F09">
      <w:pPr>
        <w:spacing w:before="2"/>
        <w:rPr>
          <w:rFonts w:eastAsia="Times New Roman" w:cs="Times New Roman"/>
          <w:sz w:val="16"/>
          <w:szCs w:val="16"/>
        </w:rPr>
      </w:pPr>
      <w:r w:rsidRPr="00263BA7">
        <w:rPr>
          <w:rFonts w:eastAsia="Times New Roman" w:cs="Times New Roman"/>
          <w:sz w:val="16"/>
          <w:szCs w:val="16"/>
        </w:rPr>
        <w:t>Prioriteit 1: Binnen 0,5 jaar oppakken</w:t>
      </w:r>
      <w:r>
        <w:rPr>
          <w:rFonts w:eastAsia="Times New Roman" w:cs="Times New Roman"/>
          <w:sz w:val="16"/>
          <w:szCs w:val="16"/>
        </w:rPr>
        <w:tab/>
      </w:r>
      <w:r w:rsidRPr="00263BA7">
        <w:rPr>
          <w:rFonts w:eastAsia="Times New Roman" w:cs="Times New Roman"/>
          <w:sz w:val="16"/>
          <w:szCs w:val="16"/>
        </w:rPr>
        <w:t>Prioriteit 2: Binnen 1 jaar oppakken</w:t>
      </w:r>
      <w:r>
        <w:rPr>
          <w:rFonts w:eastAsia="Times New Roman" w:cs="Times New Roman"/>
          <w:sz w:val="16"/>
          <w:szCs w:val="16"/>
        </w:rPr>
        <w:tab/>
      </w:r>
      <w:r w:rsidRPr="00263BA7">
        <w:rPr>
          <w:rFonts w:eastAsia="Times New Roman" w:cs="Times New Roman"/>
          <w:sz w:val="16"/>
          <w:szCs w:val="16"/>
        </w:rPr>
        <w:t>Prioriteit 3: Zonder datum</w:t>
      </w:r>
      <w:r>
        <w:rPr>
          <w:rFonts w:eastAsia="Times New Roman" w:cs="Times New Roman"/>
          <w:sz w:val="16"/>
          <w:szCs w:val="16"/>
        </w:rPr>
        <w:t xml:space="preserve"> -&gt; planning volgt in [jaar]</w:t>
      </w:r>
    </w:p>
    <w:p w14:paraId="5BB93F12" w14:textId="77777777" w:rsidR="000A4401" w:rsidRDefault="000A4401" w:rsidP="00203C90">
      <w:pPr>
        <w:spacing w:after="0"/>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122"/>
      </w:tblGrid>
      <w:tr w:rsidR="000D5388" w:rsidRPr="005565F2" w14:paraId="6EEE982C" w14:textId="77777777" w:rsidTr="00D64BFA">
        <w:tc>
          <w:tcPr>
            <w:tcW w:w="9122" w:type="dxa"/>
            <w:tcBorders>
              <w:top w:val="single" w:sz="4" w:space="0" w:color="auto"/>
              <w:left w:val="single" w:sz="4" w:space="0" w:color="auto"/>
              <w:bottom w:val="single" w:sz="4" w:space="0" w:color="auto"/>
              <w:right w:val="single" w:sz="4" w:space="0" w:color="auto"/>
            </w:tcBorders>
            <w:shd w:val="pct10" w:color="auto" w:fill="auto"/>
          </w:tcPr>
          <w:p w14:paraId="32512B15" w14:textId="77777777" w:rsidR="000D5388" w:rsidRPr="005565F2" w:rsidRDefault="000D5388" w:rsidP="00D64BFA">
            <w:pPr>
              <w:autoSpaceDE w:val="0"/>
              <w:autoSpaceDN w:val="0"/>
              <w:adjustRightInd w:val="0"/>
              <w:spacing w:after="0"/>
              <w:rPr>
                <w:rFonts w:ascii="Calibri" w:eastAsia="AvenirLTStd-Light" w:hAnsi="Calibri" w:cs="AvenirLTStd-Light"/>
                <w:b/>
              </w:rPr>
            </w:pPr>
            <w:r w:rsidRPr="005565F2">
              <w:rPr>
                <w:rFonts w:ascii="Calibri" w:eastAsia="AvenirLTStd-Light" w:hAnsi="Calibri" w:cs="AvenirLTStd-Light"/>
                <w:b/>
              </w:rPr>
              <w:t xml:space="preserve">Aanbevelingen SOON </w:t>
            </w:r>
            <w:r w:rsidRPr="00A375EE">
              <w:rPr>
                <w:rFonts w:ascii="Calibri"/>
                <w:b/>
                <w:spacing w:val="-2"/>
              </w:rPr>
              <w:t xml:space="preserve">t.b.v. </w:t>
            </w:r>
            <w:r>
              <w:rPr>
                <w:rFonts w:ascii="Calibri"/>
                <w:b/>
                <w:spacing w:val="-2"/>
              </w:rPr>
              <w:t>verbeteringen in dit domein van Metis</w:t>
            </w:r>
          </w:p>
        </w:tc>
      </w:tr>
      <w:tr w:rsidR="000D5388" w:rsidRPr="005565F2" w14:paraId="7E9AD246" w14:textId="77777777" w:rsidTr="00D64BFA">
        <w:tc>
          <w:tcPr>
            <w:tcW w:w="9122" w:type="dxa"/>
            <w:tcBorders>
              <w:top w:val="single" w:sz="4" w:space="0" w:color="auto"/>
              <w:left w:val="single" w:sz="4" w:space="0" w:color="auto"/>
              <w:bottom w:val="single" w:sz="4" w:space="0" w:color="auto"/>
              <w:right w:val="single" w:sz="4" w:space="0" w:color="auto"/>
            </w:tcBorders>
          </w:tcPr>
          <w:p w14:paraId="5250BE21" w14:textId="77777777" w:rsidR="000D5388" w:rsidRPr="005565F2" w:rsidRDefault="000D5388" w:rsidP="00D64BFA">
            <w:pPr>
              <w:autoSpaceDE w:val="0"/>
              <w:autoSpaceDN w:val="0"/>
              <w:adjustRightInd w:val="0"/>
              <w:spacing w:after="0"/>
              <w:rPr>
                <w:rFonts w:ascii="Calibri" w:eastAsia="AvenirLTStd-Light" w:hAnsi="Calibri" w:cs="AvenirLTStd-Light"/>
              </w:rPr>
            </w:pPr>
          </w:p>
        </w:tc>
      </w:tr>
    </w:tbl>
    <w:p w14:paraId="2F1ACDAD" w14:textId="77777777" w:rsidR="000D5388" w:rsidRDefault="000D5388">
      <w:pPr>
        <w:rPr>
          <w:b/>
          <w:sz w:val="28"/>
          <w:szCs w:val="28"/>
        </w:rPr>
      </w:pPr>
      <w:r>
        <w:rPr>
          <w:b/>
          <w:sz w:val="28"/>
          <w:szCs w:val="28"/>
        </w:rPr>
        <w:br w:type="page"/>
      </w:r>
    </w:p>
    <w:p w14:paraId="6A7C0827" w14:textId="20BDDED8" w:rsidR="00D45EC6" w:rsidRDefault="00D45EC6" w:rsidP="00D45EC6">
      <w:pPr>
        <w:spacing w:after="0"/>
        <w:rPr>
          <w:b/>
          <w:sz w:val="28"/>
          <w:szCs w:val="28"/>
        </w:rPr>
      </w:pPr>
      <w:r w:rsidRPr="00790C10">
        <w:rPr>
          <w:b/>
          <w:sz w:val="28"/>
          <w:szCs w:val="28"/>
        </w:rPr>
        <w:lastRenderedPageBreak/>
        <w:t xml:space="preserve">Scoretabellen </w:t>
      </w:r>
    </w:p>
    <w:p w14:paraId="3351B55B" w14:textId="77777777" w:rsidR="000A576E" w:rsidRDefault="000A576E" w:rsidP="00D45EC6">
      <w:pPr>
        <w:spacing w:after="0"/>
        <w:rPr>
          <w:b/>
          <w:sz w:val="28"/>
          <w:szCs w:val="28"/>
        </w:rPr>
      </w:pPr>
    </w:p>
    <w:p w14:paraId="60A74131" w14:textId="77777777" w:rsidR="000A576E" w:rsidRPr="00963F09" w:rsidRDefault="000A576E" w:rsidP="00D45EC6">
      <w:pPr>
        <w:spacing w:after="0"/>
        <w:rPr>
          <w:i/>
        </w:rPr>
      </w:pPr>
      <w:r w:rsidRPr="00963F09">
        <w:rPr>
          <w:i/>
        </w:rPr>
        <w:t xml:space="preserve">De scores krijgen een ‘stoplicht’ mee om uit te drukken hoe het instituut de score interpreteert. </w:t>
      </w:r>
    </w:p>
    <w:p w14:paraId="17970761" w14:textId="008B7280" w:rsidR="00963F09" w:rsidRPr="00963F09" w:rsidRDefault="00963F09" w:rsidP="00D45EC6">
      <w:pPr>
        <w:spacing w:after="0"/>
        <w:rPr>
          <w:i/>
        </w:rPr>
      </w:pPr>
      <w:r w:rsidRPr="00963F09">
        <w:rPr>
          <w:i/>
        </w:rPr>
        <w:t>Gebruik hiervoor het vak 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25"/>
      </w:tblGrid>
      <w:tr w:rsidR="000A576E" w:rsidRPr="0043646A" w14:paraId="138CAAD2" w14:textId="77777777" w:rsidTr="000A576E">
        <w:tc>
          <w:tcPr>
            <w:tcW w:w="1526" w:type="dxa"/>
          </w:tcPr>
          <w:p w14:paraId="0B7CEC8A" w14:textId="77777777" w:rsidR="000A576E" w:rsidRPr="00ED4477" w:rsidRDefault="000A576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Score X</w:t>
            </w:r>
          </w:p>
        </w:tc>
        <w:tc>
          <w:tcPr>
            <w:tcW w:w="1134" w:type="dxa"/>
            <w:shd w:val="clear" w:color="auto" w:fill="00FF00"/>
          </w:tcPr>
          <w:p w14:paraId="528B27A6" w14:textId="77777777" w:rsidR="000A576E" w:rsidRPr="00ED4477" w:rsidRDefault="000A576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Goed</w:t>
            </w:r>
          </w:p>
        </w:tc>
        <w:tc>
          <w:tcPr>
            <w:tcW w:w="1276" w:type="dxa"/>
            <w:shd w:val="clear" w:color="auto" w:fill="FF9900"/>
          </w:tcPr>
          <w:p w14:paraId="3F7CEA04" w14:textId="77777777" w:rsidR="000A576E" w:rsidRPr="00ED4477" w:rsidRDefault="000A576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Voldoende</w:t>
            </w:r>
          </w:p>
        </w:tc>
        <w:tc>
          <w:tcPr>
            <w:tcW w:w="1417" w:type="dxa"/>
            <w:shd w:val="clear" w:color="auto" w:fill="FF0000"/>
          </w:tcPr>
          <w:p w14:paraId="362A65B5" w14:textId="77777777" w:rsidR="000A576E" w:rsidRPr="00ED4477" w:rsidRDefault="000A576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Onvoldoende</w:t>
            </w:r>
          </w:p>
        </w:tc>
      </w:tr>
    </w:tbl>
    <w:p w14:paraId="1681FA81" w14:textId="77777777" w:rsidR="000A576E" w:rsidRDefault="000A576E" w:rsidP="00D45EC6">
      <w:pPr>
        <w:spacing w:after="0"/>
        <w:rPr>
          <w:b/>
          <w:sz w:val="28"/>
          <w:szCs w:val="28"/>
        </w:rPr>
      </w:pPr>
    </w:p>
    <w:p w14:paraId="6260412D" w14:textId="77777777" w:rsidR="00AD3EEC" w:rsidRPr="00BE2FB6" w:rsidRDefault="005A198C" w:rsidP="00EC2344">
      <w:pPr>
        <w:spacing w:after="0"/>
        <w:rPr>
          <w:rFonts w:ascii="Calibri" w:eastAsia="AvenirLTStd-Light" w:hAnsi="Calibri" w:cs="AvenirLTStd-Light"/>
          <w:b/>
          <w:noProof/>
          <w:sz w:val="24"/>
          <w:szCs w:val="24"/>
        </w:rPr>
      </w:pPr>
      <w:r>
        <w:rPr>
          <w:rFonts w:ascii="Calibri" w:eastAsia="AvenirLTStd-Light" w:hAnsi="Calibri" w:cs="AvenirLTStd-Light"/>
          <w:b/>
          <w:noProof/>
          <w:sz w:val="24"/>
          <w:szCs w:val="24"/>
        </w:rPr>
        <w:t>2a. Onderwijsprogramma</w:t>
      </w:r>
    </w:p>
    <w:p w14:paraId="21B142E7" w14:textId="77777777" w:rsidR="00711D14" w:rsidRPr="005767B9" w:rsidRDefault="00711D14" w:rsidP="00EC234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E03163" w:rsidRPr="00B5204D" w14:paraId="1161718E" w14:textId="77777777" w:rsidTr="00234872">
        <w:tc>
          <w:tcPr>
            <w:tcW w:w="9122" w:type="dxa"/>
            <w:gridSpan w:val="8"/>
            <w:shd w:val="clear" w:color="auto" w:fill="auto"/>
          </w:tcPr>
          <w:p w14:paraId="28604C72" w14:textId="77777777" w:rsidR="00E03163" w:rsidRPr="00B5204D" w:rsidRDefault="00E03163" w:rsidP="00EC2344">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sidR="005A198C">
              <w:rPr>
                <w:rFonts w:ascii="Calibri" w:eastAsia="AvenirLTStd-Light" w:hAnsi="Calibri" w:cs="AvenirLTStd-Light"/>
                <w:b/>
              </w:rPr>
              <w:t>2</w:t>
            </w:r>
            <w:r w:rsidR="00D32595" w:rsidRPr="00B5204D">
              <w:rPr>
                <w:rFonts w:ascii="Calibri" w:eastAsia="AvenirLTStd-Light" w:hAnsi="Calibri" w:cs="AvenirLTStd-Light"/>
                <w:b/>
              </w:rPr>
              <w:t xml:space="preserve">a.1 </w:t>
            </w:r>
            <w:r w:rsidR="005A198C" w:rsidRPr="005A198C">
              <w:rPr>
                <w:rFonts w:ascii="Calibri" w:eastAsia="AvenirLTStd-Light" w:hAnsi="Calibri" w:cs="AvenirLTStd-Light"/>
                <w:b/>
              </w:rPr>
              <w:t>Onderwijs aios in EBM in alle opleidingsjaren</w:t>
            </w:r>
          </w:p>
        </w:tc>
      </w:tr>
      <w:tr w:rsidR="00D372AA" w:rsidRPr="00D372AA" w14:paraId="6DB78C3D" w14:textId="77777777" w:rsidTr="00D64BFA">
        <w:tc>
          <w:tcPr>
            <w:tcW w:w="8188" w:type="dxa"/>
            <w:gridSpan w:val="7"/>
            <w:tcBorders>
              <w:bottom w:val="single" w:sz="4" w:space="0" w:color="auto"/>
            </w:tcBorders>
          </w:tcPr>
          <w:p w14:paraId="0FEBC63A" w14:textId="03845597" w:rsidR="00D372AA" w:rsidRPr="00D372AA" w:rsidRDefault="00D372AA" w:rsidP="00D64BFA">
            <w:pPr>
              <w:autoSpaceDE w:val="0"/>
              <w:autoSpaceDN w:val="0"/>
              <w:adjustRightInd w:val="0"/>
              <w:spacing w:after="0"/>
              <w:rPr>
                <w:rFonts w:cs="Lucida Sans Unicode"/>
                <w:b/>
                <w:i/>
              </w:rPr>
            </w:pPr>
            <w:r w:rsidRPr="00D372AA">
              <w:rPr>
                <w:rFonts w:eastAsia="AvenirLTStd-Light" w:cs="AvenirLTStd-Light"/>
                <w:i/>
              </w:rPr>
              <w:t>Aios krijgen onderwijs EBM bestaand uit alle stappen van het evidence-based handelen (van klinische vraag tot toepassing in de praktijk, evidence-based practice).</w:t>
            </w:r>
          </w:p>
        </w:tc>
        <w:tc>
          <w:tcPr>
            <w:tcW w:w="934" w:type="dxa"/>
            <w:tcBorders>
              <w:bottom w:val="single" w:sz="4" w:space="0" w:color="auto"/>
            </w:tcBorders>
          </w:tcPr>
          <w:p w14:paraId="63206B0C" w14:textId="77777777" w:rsidR="00D372AA" w:rsidRPr="00D372AA" w:rsidRDefault="00D372AA" w:rsidP="00D64BFA">
            <w:pPr>
              <w:autoSpaceDE w:val="0"/>
              <w:autoSpaceDN w:val="0"/>
              <w:adjustRightInd w:val="0"/>
              <w:spacing w:after="0"/>
              <w:jc w:val="right"/>
              <w:rPr>
                <w:rFonts w:cs="Lucida Sans Unicode"/>
                <w:b/>
                <w:i/>
              </w:rPr>
            </w:pPr>
          </w:p>
        </w:tc>
      </w:tr>
      <w:tr w:rsidR="00F71FBA" w:rsidRPr="0043646A" w14:paraId="4E034BA6" w14:textId="77777777" w:rsidTr="00963F09">
        <w:tc>
          <w:tcPr>
            <w:tcW w:w="8188" w:type="dxa"/>
            <w:gridSpan w:val="7"/>
            <w:shd w:val="pct10" w:color="auto" w:fill="auto"/>
          </w:tcPr>
          <w:p w14:paraId="5B75FC9D" w14:textId="06E5C96A" w:rsidR="00F71FBA" w:rsidRPr="00F71FBA" w:rsidRDefault="005A198C" w:rsidP="00B437BC">
            <w:pPr>
              <w:pStyle w:val="Lijstalinea"/>
              <w:numPr>
                <w:ilvl w:val="0"/>
                <w:numId w:val="1"/>
              </w:numPr>
              <w:autoSpaceDE w:val="0"/>
              <w:autoSpaceDN w:val="0"/>
              <w:adjustRightInd w:val="0"/>
              <w:spacing w:after="0"/>
              <w:ind w:left="284" w:hanging="284"/>
              <w:rPr>
                <w:rFonts w:ascii="Calibri" w:eastAsia="AvenirLTStd-Light" w:hAnsi="Calibri" w:cs="AvenirLTStd-Light"/>
              </w:rPr>
            </w:pPr>
            <w:r w:rsidRPr="005A198C">
              <w:rPr>
                <w:rFonts w:ascii="Calibri" w:eastAsia="AvenirLTStd-Light" w:hAnsi="Calibri" w:cs="AvenirLTStd-Light"/>
              </w:rPr>
              <w:t xml:space="preserve">Formuleren van een zoekvraag op basis van een klinisch probleem is onderdeel van een onderwijsprogramma. </w:t>
            </w:r>
          </w:p>
        </w:tc>
        <w:tc>
          <w:tcPr>
            <w:tcW w:w="934" w:type="dxa"/>
            <w:shd w:val="pct10" w:color="auto" w:fill="auto"/>
          </w:tcPr>
          <w:p w14:paraId="5868F81D" w14:textId="00B45A37" w:rsidR="00F71FBA" w:rsidRPr="00914F2A" w:rsidRDefault="00963F09" w:rsidP="00963F09">
            <w:pPr>
              <w:autoSpaceDE w:val="0"/>
              <w:autoSpaceDN w:val="0"/>
              <w:adjustRightInd w:val="0"/>
              <w:spacing w:after="0"/>
              <w:jc w:val="center"/>
              <w:rPr>
                <w:rFonts w:ascii="Calibri" w:eastAsia="AvenirLTStd-Light" w:hAnsi="Calibri" w:cs="AvenirLTStd-Light"/>
              </w:rPr>
            </w:pPr>
            <w:r>
              <w:rPr>
                <w:rFonts w:ascii="Calibri" w:eastAsia="AvenirLTStd-Light" w:hAnsi="Calibri" w:cs="AvenirLTStd-Light"/>
              </w:rPr>
              <w:t>*</w:t>
            </w:r>
          </w:p>
        </w:tc>
      </w:tr>
      <w:tr w:rsidR="004C2710" w:rsidRPr="0043646A" w14:paraId="349FDA64" w14:textId="77777777" w:rsidTr="00963F09">
        <w:trPr>
          <w:trHeight w:val="938"/>
        </w:trPr>
        <w:tc>
          <w:tcPr>
            <w:tcW w:w="9122" w:type="dxa"/>
            <w:gridSpan w:val="8"/>
            <w:tcBorders>
              <w:bottom w:val="single" w:sz="4" w:space="0" w:color="auto"/>
            </w:tcBorders>
          </w:tcPr>
          <w:p w14:paraId="6F79F459" w14:textId="77777777" w:rsidR="005D3D0D" w:rsidRPr="00914F2A" w:rsidRDefault="005D3D0D" w:rsidP="005D3D0D">
            <w:pPr>
              <w:autoSpaceDE w:val="0"/>
              <w:autoSpaceDN w:val="0"/>
              <w:adjustRightInd w:val="0"/>
              <w:spacing w:after="0"/>
              <w:rPr>
                <w:rFonts w:ascii="Calibri" w:eastAsia="AvenirLTStd-Light" w:hAnsi="Calibri" w:cs="AvenirLTStd-Light"/>
              </w:rPr>
            </w:pPr>
          </w:p>
        </w:tc>
      </w:tr>
      <w:tr w:rsidR="00E02576" w:rsidRPr="0043646A" w14:paraId="05EAB50E" w14:textId="77777777" w:rsidTr="00963F09">
        <w:tc>
          <w:tcPr>
            <w:tcW w:w="1526" w:type="dxa"/>
            <w:shd w:val="pct10" w:color="auto" w:fill="auto"/>
          </w:tcPr>
          <w:p w14:paraId="738A0312"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10A4B417"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99D9539"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4D726E65"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A01E57E"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5CDF394" w14:textId="77777777" w:rsidR="00E02576" w:rsidRPr="00ED4477" w:rsidRDefault="005A198C"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w:t>
            </w:r>
            <w:r w:rsidR="00E02576">
              <w:rPr>
                <w:rFonts w:ascii="Calibri" w:eastAsia="AvenirLTStd-Light" w:hAnsi="Calibri" w:cs="AvenirLTStd-Light"/>
              </w:rPr>
              <w:t xml:space="preserve"> Ja</w:t>
            </w:r>
          </w:p>
        </w:tc>
        <w:tc>
          <w:tcPr>
            <w:tcW w:w="1076" w:type="dxa"/>
            <w:gridSpan w:val="2"/>
            <w:shd w:val="pct10" w:color="auto" w:fill="auto"/>
          </w:tcPr>
          <w:p w14:paraId="790668AD"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ED4477" w:rsidRPr="0043646A" w14:paraId="153256BF" w14:textId="77777777" w:rsidTr="00963F09">
        <w:tc>
          <w:tcPr>
            <w:tcW w:w="9122" w:type="dxa"/>
            <w:gridSpan w:val="8"/>
            <w:tcBorders>
              <w:bottom w:val="single" w:sz="4" w:space="0" w:color="auto"/>
            </w:tcBorders>
          </w:tcPr>
          <w:p w14:paraId="18308579" w14:textId="77777777" w:rsidR="00ED4477" w:rsidRDefault="00ED4477"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r w:rsidR="0011496A">
              <w:rPr>
                <w:rFonts w:ascii="Calibri" w:eastAsia="AvenirLTStd-Light" w:hAnsi="Calibri" w:cs="AvenirLTStd-Light"/>
              </w:rPr>
              <w:t xml:space="preserve"> </w:t>
            </w:r>
          </w:p>
          <w:p w14:paraId="187D2CF4" w14:textId="77777777" w:rsidR="00866244" w:rsidRPr="005A198C" w:rsidRDefault="00866244" w:rsidP="005A198C">
            <w:pPr>
              <w:autoSpaceDE w:val="0"/>
              <w:autoSpaceDN w:val="0"/>
              <w:adjustRightInd w:val="0"/>
              <w:spacing w:after="0"/>
              <w:rPr>
                <w:rFonts w:ascii="Calibri" w:eastAsia="AvenirLTStd-Light" w:hAnsi="Calibri" w:cs="AvenirLTStd-Light"/>
              </w:rPr>
            </w:pPr>
          </w:p>
        </w:tc>
      </w:tr>
      <w:tr w:rsidR="00F71FBA" w:rsidRPr="0043646A" w14:paraId="2700896C" w14:textId="77777777" w:rsidTr="00963F09">
        <w:tc>
          <w:tcPr>
            <w:tcW w:w="8188" w:type="dxa"/>
            <w:gridSpan w:val="7"/>
            <w:shd w:val="pct10" w:color="auto" w:fill="auto"/>
          </w:tcPr>
          <w:p w14:paraId="4736A984" w14:textId="4BC4896F" w:rsidR="00F71FBA" w:rsidRPr="00F71FBA" w:rsidRDefault="005A198C" w:rsidP="00B437BC">
            <w:pPr>
              <w:pStyle w:val="Lijstalinea"/>
              <w:numPr>
                <w:ilvl w:val="0"/>
                <w:numId w:val="1"/>
              </w:numPr>
              <w:autoSpaceDE w:val="0"/>
              <w:autoSpaceDN w:val="0"/>
              <w:adjustRightInd w:val="0"/>
              <w:spacing w:after="0"/>
              <w:ind w:left="284" w:hanging="284"/>
              <w:rPr>
                <w:rFonts w:ascii="Calibri" w:eastAsia="AvenirLTStd-Light" w:hAnsi="Calibri" w:cs="AvenirLTStd-Light"/>
              </w:rPr>
            </w:pPr>
            <w:r w:rsidRPr="005A198C">
              <w:rPr>
                <w:rFonts w:ascii="Calibri" w:eastAsia="AvenirLTStd-Light" w:hAnsi="Calibri" w:cs="AvenirLTStd-Light"/>
              </w:rPr>
              <w:t>Hoe en waar literatuur te zoeken om de vraag te beantwoorden en deze</w:t>
            </w:r>
            <w:r w:rsidR="00B437BC">
              <w:rPr>
                <w:rFonts w:ascii="Calibri" w:eastAsia="AvenirLTStd-Light" w:hAnsi="Calibri" w:cs="AvenirLTStd-Light"/>
              </w:rPr>
              <w:t xml:space="preserve"> te selecteren komt aan de orde.</w:t>
            </w:r>
          </w:p>
        </w:tc>
        <w:tc>
          <w:tcPr>
            <w:tcW w:w="934" w:type="dxa"/>
            <w:shd w:val="pct10" w:color="auto" w:fill="auto"/>
          </w:tcPr>
          <w:p w14:paraId="1711F569" w14:textId="67B4504B" w:rsidR="00F71FBA" w:rsidRPr="00914F2A" w:rsidRDefault="00872E26" w:rsidP="00872E26">
            <w:pPr>
              <w:autoSpaceDE w:val="0"/>
              <w:autoSpaceDN w:val="0"/>
              <w:adjustRightInd w:val="0"/>
              <w:spacing w:after="0"/>
              <w:jc w:val="center"/>
              <w:rPr>
                <w:rFonts w:ascii="Calibri" w:eastAsia="AvenirLTStd-Light" w:hAnsi="Calibri" w:cs="AvenirLTStd-Light"/>
              </w:rPr>
            </w:pPr>
            <w:r>
              <w:rPr>
                <w:rFonts w:ascii="Calibri" w:eastAsia="AvenirLTStd-Light" w:hAnsi="Calibri" w:cs="AvenirLTStd-Light"/>
              </w:rPr>
              <w:t>*</w:t>
            </w:r>
          </w:p>
        </w:tc>
      </w:tr>
      <w:tr w:rsidR="00392FF9" w:rsidRPr="0043646A" w14:paraId="7EFE4685" w14:textId="77777777" w:rsidTr="00963F09">
        <w:trPr>
          <w:trHeight w:val="551"/>
        </w:trPr>
        <w:tc>
          <w:tcPr>
            <w:tcW w:w="9122" w:type="dxa"/>
            <w:gridSpan w:val="8"/>
            <w:tcBorders>
              <w:bottom w:val="single" w:sz="4" w:space="0" w:color="auto"/>
            </w:tcBorders>
          </w:tcPr>
          <w:p w14:paraId="5AA4CAA0" w14:textId="77777777" w:rsidR="00392FF9" w:rsidRPr="00914F2A" w:rsidRDefault="00392FF9" w:rsidP="004D1289">
            <w:pPr>
              <w:autoSpaceDE w:val="0"/>
              <w:autoSpaceDN w:val="0"/>
              <w:adjustRightInd w:val="0"/>
              <w:spacing w:after="0"/>
              <w:rPr>
                <w:rFonts w:ascii="Calibri" w:eastAsia="AvenirLTStd-Light" w:hAnsi="Calibri" w:cs="AvenirLTStd-Light"/>
              </w:rPr>
            </w:pPr>
          </w:p>
        </w:tc>
      </w:tr>
      <w:tr w:rsidR="00BE6822" w:rsidRPr="0043646A" w14:paraId="35868F44" w14:textId="77777777" w:rsidTr="00963F09">
        <w:tc>
          <w:tcPr>
            <w:tcW w:w="1526" w:type="dxa"/>
            <w:shd w:val="pct10" w:color="auto" w:fill="auto"/>
          </w:tcPr>
          <w:p w14:paraId="7BE459D1"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0256B0B9"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52C65E2E"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F17F4AA"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511E21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A1B7F5F"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1BF23276"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767B9" w:rsidRPr="0043646A" w14:paraId="6C77D7B3" w14:textId="77777777" w:rsidTr="00963F09">
        <w:tc>
          <w:tcPr>
            <w:tcW w:w="9122" w:type="dxa"/>
            <w:gridSpan w:val="8"/>
            <w:tcBorders>
              <w:bottom w:val="single" w:sz="4" w:space="0" w:color="auto"/>
            </w:tcBorders>
          </w:tcPr>
          <w:p w14:paraId="0632F89A" w14:textId="77777777" w:rsidR="005767B9" w:rsidRPr="005B2234" w:rsidRDefault="005767B9" w:rsidP="005B2234">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r w:rsidR="005B2234">
              <w:rPr>
                <w:rFonts w:ascii="Calibri" w:eastAsia="AvenirLTStd-Light" w:hAnsi="Calibri" w:cs="AvenirLTStd-Light"/>
              </w:rPr>
              <w:t xml:space="preserve"> </w:t>
            </w:r>
          </w:p>
        </w:tc>
      </w:tr>
      <w:tr w:rsidR="00F71FBA" w:rsidRPr="0043646A" w14:paraId="7D6393B1" w14:textId="77777777" w:rsidTr="00963F09">
        <w:tc>
          <w:tcPr>
            <w:tcW w:w="8188" w:type="dxa"/>
            <w:gridSpan w:val="7"/>
            <w:shd w:val="pct10" w:color="auto" w:fill="auto"/>
          </w:tcPr>
          <w:p w14:paraId="4C9AF13A" w14:textId="57635169" w:rsidR="00F71FBA" w:rsidRPr="00F71FBA" w:rsidRDefault="005A198C" w:rsidP="00B437BC">
            <w:pPr>
              <w:pStyle w:val="Lijstalinea"/>
              <w:numPr>
                <w:ilvl w:val="0"/>
                <w:numId w:val="1"/>
              </w:numPr>
              <w:autoSpaceDE w:val="0"/>
              <w:autoSpaceDN w:val="0"/>
              <w:adjustRightInd w:val="0"/>
              <w:spacing w:after="0"/>
              <w:ind w:left="284" w:hanging="284"/>
              <w:rPr>
                <w:rFonts w:ascii="Calibri" w:eastAsia="AvenirLTStd-Light" w:hAnsi="Calibri" w:cs="AvenirLTStd-Light"/>
              </w:rPr>
            </w:pPr>
            <w:r w:rsidRPr="00D3750D">
              <w:rPr>
                <w:rFonts w:ascii="Calibri" w:eastAsia="AvenirLTStd-Light" w:hAnsi="Calibri" w:cs="AvenirLTStd-Light"/>
              </w:rPr>
              <w:t>Aan het kritisch beoordelen van literatuur w</w:t>
            </w:r>
            <w:r>
              <w:rPr>
                <w:rFonts w:ascii="Calibri" w:eastAsia="AvenirLTStd-Light" w:hAnsi="Calibri" w:cs="AvenirLTStd-Light"/>
              </w:rPr>
              <w:t>ordt expliciet aandacht besteed</w:t>
            </w:r>
            <w:r w:rsidR="00B437BC">
              <w:rPr>
                <w:rFonts w:ascii="Calibri" w:eastAsia="AvenirLTStd-Light" w:hAnsi="Calibri" w:cs="AvenirLTStd-Light"/>
              </w:rPr>
              <w:t>.</w:t>
            </w:r>
          </w:p>
        </w:tc>
        <w:tc>
          <w:tcPr>
            <w:tcW w:w="934" w:type="dxa"/>
            <w:shd w:val="pct10" w:color="auto" w:fill="auto"/>
          </w:tcPr>
          <w:p w14:paraId="6F251A01" w14:textId="0B794330" w:rsidR="00F71FBA" w:rsidRPr="00914F2A" w:rsidRDefault="00872E26" w:rsidP="0011496A">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92FF9" w:rsidRPr="0043646A" w14:paraId="79FE40A4" w14:textId="77777777" w:rsidTr="00963F09">
        <w:trPr>
          <w:trHeight w:val="263"/>
        </w:trPr>
        <w:tc>
          <w:tcPr>
            <w:tcW w:w="9122" w:type="dxa"/>
            <w:gridSpan w:val="8"/>
            <w:tcBorders>
              <w:bottom w:val="single" w:sz="4" w:space="0" w:color="auto"/>
            </w:tcBorders>
          </w:tcPr>
          <w:p w14:paraId="7025ECE7" w14:textId="77777777" w:rsidR="00392FF9" w:rsidRPr="00914F2A" w:rsidRDefault="00392FF9" w:rsidP="00F5450B">
            <w:pPr>
              <w:autoSpaceDE w:val="0"/>
              <w:autoSpaceDN w:val="0"/>
              <w:adjustRightInd w:val="0"/>
              <w:spacing w:after="0"/>
              <w:rPr>
                <w:rFonts w:ascii="Calibri" w:eastAsia="AvenirLTStd-Light" w:hAnsi="Calibri" w:cs="AvenirLTStd-Light"/>
              </w:rPr>
            </w:pPr>
          </w:p>
        </w:tc>
      </w:tr>
      <w:tr w:rsidR="00BE6822" w:rsidRPr="0043646A" w14:paraId="4395D3BC" w14:textId="77777777" w:rsidTr="00963F09">
        <w:tc>
          <w:tcPr>
            <w:tcW w:w="1526" w:type="dxa"/>
            <w:tcBorders>
              <w:bottom w:val="single" w:sz="4" w:space="0" w:color="auto"/>
            </w:tcBorders>
            <w:shd w:val="pct10" w:color="auto" w:fill="auto"/>
          </w:tcPr>
          <w:p w14:paraId="2A02D4FB"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49B16F55"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3708FB0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6E930BA4"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1A32731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1C75EB09"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72C67C2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767B9" w:rsidRPr="0043646A" w14:paraId="2CF30A9C" w14:textId="77777777" w:rsidTr="00963F09">
        <w:tc>
          <w:tcPr>
            <w:tcW w:w="9122" w:type="dxa"/>
            <w:gridSpan w:val="8"/>
            <w:shd w:val="clear" w:color="auto" w:fill="auto"/>
          </w:tcPr>
          <w:p w14:paraId="65E8BEF8" w14:textId="77777777" w:rsidR="005767B9" w:rsidRPr="0011496A" w:rsidRDefault="005767B9" w:rsidP="0011496A">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r w:rsidR="0011496A">
              <w:rPr>
                <w:rFonts w:ascii="Calibri" w:eastAsia="AvenirLTStd-Light" w:hAnsi="Calibri" w:cs="AvenirLTStd-Light"/>
              </w:rPr>
              <w:t xml:space="preserve"> </w:t>
            </w:r>
          </w:p>
        </w:tc>
      </w:tr>
      <w:tr w:rsidR="00F71FBA" w:rsidRPr="0043646A" w14:paraId="74C63D21" w14:textId="77777777" w:rsidTr="00963F09">
        <w:tc>
          <w:tcPr>
            <w:tcW w:w="8188" w:type="dxa"/>
            <w:gridSpan w:val="7"/>
            <w:shd w:val="pct10" w:color="auto" w:fill="auto"/>
          </w:tcPr>
          <w:p w14:paraId="03C7858C" w14:textId="156FBC50" w:rsidR="00F71FBA" w:rsidRPr="00F71FBA" w:rsidRDefault="005A198C" w:rsidP="00B437BC">
            <w:pPr>
              <w:pStyle w:val="Lijstalinea"/>
              <w:numPr>
                <w:ilvl w:val="0"/>
                <w:numId w:val="1"/>
              </w:numPr>
              <w:autoSpaceDE w:val="0"/>
              <w:autoSpaceDN w:val="0"/>
              <w:adjustRightInd w:val="0"/>
              <w:spacing w:after="0"/>
              <w:ind w:left="284" w:hanging="284"/>
              <w:rPr>
                <w:rFonts w:ascii="Calibri" w:eastAsia="AvenirLTStd-Light" w:hAnsi="Calibri" w:cs="AvenirLTStd-Light"/>
              </w:rPr>
            </w:pPr>
            <w:r w:rsidRPr="00D3750D">
              <w:rPr>
                <w:rFonts w:ascii="Calibri" w:eastAsia="AvenirLTStd-Light" w:hAnsi="Calibri" w:cs="AvenirLTStd-Light"/>
              </w:rPr>
              <w:t>Hoe het bewijs toe te passen op individuele patiënten is een vraag die aant</w:t>
            </w:r>
            <w:r>
              <w:rPr>
                <w:rFonts w:ascii="Calibri" w:eastAsia="AvenirLTStd-Light" w:hAnsi="Calibri" w:cs="AvenirLTStd-Light"/>
              </w:rPr>
              <w:t>oonbaar aan de orde komt in het onderwijs</w:t>
            </w:r>
            <w:r w:rsidR="00B437BC">
              <w:rPr>
                <w:rFonts w:ascii="Calibri" w:eastAsia="AvenirLTStd-Light" w:hAnsi="Calibri" w:cs="AvenirLTStd-Light"/>
              </w:rPr>
              <w:t>.</w:t>
            </w:r>
          </w:p>
        </w:tc>
        <w:tc>
          <w:tcPr>
            <w:tcW w:w="934" w:type="dxa"/>
            <w:shd w:val="pct10" w:color="auto" w:fill="auto"/>
          </w:tcPr>
          <w:p w14:paraId="185AF719" w14:textId="4613382B" w:rsidR="00F71FBA" w:rsidRPr="00914F2A" w:rsidRDefault="00872E26" w:rsidP="0011496A">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92FF9" w:rsidRPr="0043646A" w14:paraId="292F7D45" w14:textId="77777777" w:rsidTr="00963F09">
        <w:trPr>
          <w:trHeight w:val="569"/>
        </w:trPr>
        <w:tc>
          <w:tcPr>
            <w:tcW w:w="9122" w:type="dxa"/>
            <w:gridSpan w:val="8"/>
            <w:tcBorders>
              <w:bottom w:val="single" w:sz="4" w:space="0" w:color="auto"/>
            </w:tcBorders>
          </w:tcPr>
          <w:p w14:paraId="742421BE" w14:textId="77777777" w:rsidR="00392FF9" w:rsidRPr="00914F2A" w:rsidRDefault="00392FF9" w:rsidP="008E3979">
            <w:pPr>
              <w:autoSpaceDE w:val="0"/>
              <w:autoSpaceDN w:val="0"/>
              <w:adjustRightInd w:val="0"/>
              <w:spacing w:after="0"/>
              <w:rPr>
                <w:rFonts w:ascii="Calibri" w:eastAsia="AvenirLTStd-Light" w:hAnsi="Calibri" w:cs="AvenirLTStd-Light"/>
              </w:rPr>
            </w:pPr>
          </w:p>
        </w:tc>
      </w:tr>
      <w:tr w:rsidR="00BE6822" w:rsidRPr="0043646A" w14:paraId="3DFB1CD2" w14:textId="77777777" w:rsidTr="00963F09">
        <w:tc>
          <w:tcPr>
            <w:tcW w:w="1526" w:type="dxa"/>
            <w:shd w:val="pct10" w:color="auto" w:fill="auto"/>
          </w:tcPr>
          <w:p w14:paraId="1DE594AA"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0B84F402"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0691B7B0"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F408EF1"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0AB8694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5FAB8555"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5227051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767B9" w:rsidRPr="0043646A" w14:paraId="129C4C91" w14:textId="77777777" w:rsidTr="00963F09">
        <w:tc>
          <w:tcPr>
            <w:tcW w:w="9122" w:type="dxa"/>
            <w:gridSpan w:val="8"/>
            <w:tcBorders>
              <w:bottom w:val="single" w:sz="4" w:space="0" w:color="auto"/>
            </w:tcBorders>
          </w:tcPr>
          <w:p w14:paraId="658D797B" w14:textId="77777777" w:rsidR="005767B9" w:rsidRDefault="005767B9"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p>
          <w:p w14:paraId="7F7A51AD" w14:textId="77777777" w:rsidR="00625723" w:rsidRPr="008E3979" w:rsidRDefault="00625723" w:rsidP="005A198C">
            <w:pPr>
              <w:pStyle w:val="Lijstalinea"/>
              <w:autoSpaceDE w:val="0"/>
              <w:autoSpaceDN w:val="0"/>
              <w:adjustRightInd w:val="0"/>
              <w:spacing w:after="0"/>
              <w:ind w:left="360"/>
              <w:rPr>
                <w:rFonts w:ascii="Calibri" w:eastAsia="AvenirLTStd-Light" w:hAnsi="Calibri" w:cs="AvenirLTStd-Light"/>
              </w:rPr>
            </w:pPr>
          </w:p>
        </w:tc>
      </w:tr>
      <w:tr w:rsidR="005A198C" w:rsidRPr="00914F2A" w14:paraId="4AEA2B3F" w14:textId="77777777" w:rsidTr="00963F09">
        <w:tc>
          <w:tcPr>
            <w:tcW w:w="8188" w:type="dxa"/>
            <w:gridSpan w:val="7"/>
            <w:shd w:val="pct10" w:color="auto" w:fill="auto"/>
          </w:tcPr>
          <w:p w14:paraId="33BA4C10" w14:textId="0F9659E5" w:rsidR="005A198C" w:rsidRDefault="005A198C" w:rsidP="00B437BC">
            <w:pPr>
              <w:pStyle w:val="Lijstalinea"/>
              <w:numPr>
                <w:ilvl w:val="0"/>
                <w:numId w:val="1"/>
              </w:numPr>
              <w:autoSpaceDE w:val="0"/>
              <w:autoSpaceDN w:val="0"/>
              <w:adjustRightInd w:val="0"/>
              <w:spacing w:after="0"/>
              <w:ind w:left="284" w:hanging="284"/>
              <w:rPr>
                <w:rFonts w:ascii="Calibri" w:eastAsia="AvenirLTStd-Light" w:hAnsi="Calibri" w:cs="AvenirLTStd-Light"/>
              </w:rPr>
            </w:pPr>
            <w:r w:rsidRPr="00D3750D">
              <w:rPr>
                <w:rFonts w:ascii="Calibri" w:eastAsia="AvenirLTStd-Light" w:hAnsi="Calibri" w:cs="AvenirLTStd-Light"/>
              </w:rPr>
              <w:t xml:space="preserve">In </w:t>
            </w:r>
            <w:r>
              <w:rPr>
                <w:rFonts w:ascii="Calibri" w:eastAsia="AvenirLTStd-Light" w:hAnsi="Calibri" w:cs="AvenirLTStd-Light"/>
              </w:rPr>
              <w:t>onderwijs dat zich niet specifiek richt</w:t>
            </w:r>
            <w:r w:rsidRPr="00D3750D">
              <w:rPr>
                <w:rFonts w:ascii="Calibri" w:eastAsia="AvenirLTStd-Light" w:hAnsi="Calibri" w:cs="AvenirLTStd-Light"/>
              </w:rPr>
              <w:t xml:space="preserve"> op EBM komen </w:t>
            </w:r>
            <w:r>
              <w:rPr>
                <w:rFonts w:ascii="Calibri" w:eastAsia="AvenirLTStd-Light" w:hAnsi="Calibri" w:cs="AvenirLTStd-Light"/>
              </w:rPr>
              <w:t xml:space="preserve">– waar relevant- </w:t>
            </w:r>
            <w:r w:rsidRPr="00D3750D">
              <w:rPr>
                <w:rFonts w:ascii="Calibri" w:eastAsia="AvenirLTStd-Light" w:hAnsi="Calibri" w:cs="AvenirLTStd-Light"/>
              </w:rPr>
              <w:t xml:space="preserve">de principes van EBM terug (bijvoorbeeld zoeken naar </w:t>
            </w:r>
            <w:r w:rsidR="00B437BC">
              <w:rPr>
                <w:rFonts w:ascii="Calibri" w:eastAsia="AvenirLTStd-Light" w:hAnsi="Calibri" w:cs="AvenirLTStd-Light"/>
              </w:rPr>
              <w:t>wetenschappelijke onderbouwing).</w:t>
            </w:r>
          </w:p>
          <w:p w14:paraId="11320DC0" w14:textId="7A97FC63" w:rsidR="00B437BC" w:rsidRPr="00F71FBA" w:rsidRDefault="00B437BC" w:rsidP="00B437BC">
            <w:pPr>
              <w:pStyle w:val="Lijstalinea"/>
              <w:autoSpaceDE w:val="0"/>
              <w:autoSpaceDN w:val="0"/>
              <w:adjustRightInd w:val="0"/>
              <w:spacing w:after="0"/>
              <w:ind w:left="284"/>
              <w:rPr>
                <w:rFonts w:ascii="Calibri" w:eastAsia="AvenirLTStd-Light" w:hAnsi="Calibri" w:cs="AvenirLTStd-Light"/>
              </w:rPr>
            </w:pPr>
          </w:p>
        </w:tc>
        <w:tc>
          <w:tcPr>
            <w:tcW w:w="934" w:type="dxa"/>
            <w:shd w:val="pct10" w:color="auto" w:fill="auto"/>
          </w:tcPr>
          <w:p w14:paraId="484645A2" w14:textId="6A5E9825" w:rsidR="005A198C" w:rsidRPr="00914F2A" w:rsidRDefault="00872E26" w:rsidP="0054049D">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lastRenderedPageBreak/>
              <w:t>*</w:t>
            </w:r>
          </w:p>
        </w:tc>
      </w:tr>
      <w:tr w:rsidR="005A198C" w:rsidRPr="00914F2A" w14:paraId="0ACCAB41" w14:textId="77777777" w:rsidTr="00963F09">
        <w:trPr>
          <w:trHeight w:val="569"/>
        </w:trPr>
        <w:tc>
          <w:tcPr>
            <w:tcW w:w="9122" w:type="dxa"/>
            <w:gridSpan w:val="8"/>
            <w:tcBorders>
              <w:bottom w:val="single" w:sz="4" w:space="0" w:color="auto"/>
            </w:tcBorders>
          </w:tcPr>
          <w:p w14:paraId="1489F019" w14:textId="77777777" w:rsidR="005A198C" w:rsidRPr="00914F2A" w:rsidRDefault="005A198C" w:rsidP="0054049D">
            <w:pPr>
              <w:autoSpaceDE w:val="0"/>
              <w:autoSpaceDN w:val="0"/>
              <w:adjustRightInd w:val="0"/>
              <w:spacing w:after="0"/>
              <w:rPr>
                <w:rFonts w:ascii="Calibri" w:eastAsia="AvenirLTStd-Light" w:hAnsi="Calibri" w:cs="AvenirLTStd-Light"/>
              </w:rPr>
            </w:pPr>
          </w:p>
        </w:tc>
      </w:tr>
      <w:tr w:rsidR="005A198C" w:rsidRPr="00ED4477" w14:paraId="40B4C8E8" w14:textId="77777777" w:rsidTr="00963F09">
        <w:tc>
          <w:tcPr>
            <w:tcW w:w="1526" w:type="dxa"/>
            <w:shd w:val="pct10" w:color="auto" w:fill="auto"/>
          </w:tcPr>
          <w:p w14:paraId="68D28A9E" w14:textId="77777777" w:rsidR="005A198C" w:rsidRPr="00ED4477" w:rsidRDefault="005A198C"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701CBD77" w14:textId="77777777" w:rsidR="005A198C" w:rsidRPr="00ED4477" w:rsidRDefault="005A198C"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99D77EB" w14:textId="77777777" w:rsidR="005A198C" w:rsidRPr="00ED4477" w:rsidRDefault="005A198C"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490E253F" w14:textId="77777777" w:rsidR="005A198C" w:rsidRPr="00ED4477" w:rsidRDefault="005A198C"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EB7C88A" w14:textId="77777777" w:rsidR="005A198C" w:rsidRPr="00ED4477" w:rsidRDefault="005A198C"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2B952A21" w14:textId="77777777" w:rsidR="005A198C" w:rsidRPr="00ED4477" w:rsidRDefault="005A198C"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147DFF38" w14:textId="77777777" w:rsidR="005A198C" w:rsidRPr="00ED4477" w:rsidRDefault="005A198C"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A198C" w:rsidRPr="008E3979" w14:paraId="0AC9D7E6" w14:textId="77777777" w:rsidTr="0054049D">
        <w:tc>
          <w:tcPr>
            <w:tcW w:w="9122" w:type="dxa"/>
            <w:gridSpan w:val="8"/>
          </w:tcPr>
          <w:p w14:paraId="728C43A5" w14:textId="77777777" w:rsidR="005A198C" w:rsidRDefault="005A198C"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p>
          <w:p w14:paraId="0A0C0934" w14:textId="77777777" w:rsidR="005A198C" w:rsidRPr="008E3979" w:rsidRDefault="005A198C" w:rsidP="0054049D">
            <w:pPr>
              <w:pStyle w:val="Lijstalinea"/>
              <w:autoSpaceDE w:val="0"/>
              <w:autoSpaceDN w:val="0"/>
              <w:adjustRightInd w:val="0"/>
              <w:spacing w:after="0"/>
              <w:ind w:left="360"/>
              <w:rPr>
                <w:rFonts w:ascii="Calibri" w:eastAsia="AvenirLTStd-Light" w:hAnsi="Calibri" w:cs="AvenirLTStd-Light"/>
              </w:rPr>
            </w:pPr>
          </w:p>
        </w:tc>
      </w:tr>
    </w:tbl>
    <w:p w14:paraId="7C6C5B62" w14:textId="77777777" w:rsidR="00F71FBA" w:rsidRDefault="00F71FBA" w:rsidP="00EC2344">
      <w:pPr>
        <w:spacing w:after="0"/>
      </w:pPr>
    </w:p>
    <w:p w14:paraId="2B79D74E" w14:textId="77777777" w:rsidR="009F0F51" w:rsidRDefault="009F0F51">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p w14:paraId="63FAADB8" w14:textId="511EF3BF" w:rsidR="00554400" w:rsidRPr="005767B9" w:rsidRDefault="00D709F7" w:rsidP="00554400">
      <w:r>
        <w:rPr>
          <w:rFonts w:ascii="Calibri" w:eastAsia="AvenirLTStd-Light" w:hAnsi="Calibri" w:cs="AvenirLTStd-Light"/>
          <w:b/>
          <w:noProof/>
          <w:sz w:val="24"/>
          <w:szCs w:val="24"/>
        </w:rPr>
        <w:lastRenderedPageBreak/>
        <w:t>2b.</w:t>
      </w:r>
      <w:r w:rsidR="00FF4644">
        <w:rPr>
          <w:rFonts w:ascii="Calibri" w:eastAsia="AvenirLTStd-Light" w:hAnsi="Calibri" w:cs="AvenirLTStd-Light"/>
          <w:b/>
          <w:noProof/>
          <w:sz w:val="24"/>
          <w:szCs w:val="24"/>
        </w:rPr>
        <w:t xml:space="preserve"> Wetenschappelijk onderzoek aios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554400" w:rsidRPr="00B5204D" w14:paraId="1F91036B" w14:textId="77777777" w:rsidTr="0054049D">
        <w:tc>
          <w:tcPr>
            <w:tcW w:w="9122" w:type="dxa"/>
            <w:gridSpan w:val="8"/>
            <w:shd w:val="clear" w:color="auto" w:fill="auto"/>
          </w:tcPr>
          <w:p w14:paraId="22E75412" w14:textId="77777777" w:rsidR="00554400" w:rsidRPr="00B5204D" w:rsidRDefault="00554400" w:rsidP="0054049D">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Pr>
                <w:rFonts w:ascii="Calibri" w:eastAsia="AvenirLTStd-Light" w:hAnsi="Calibri" w:cs="AvenirLTStd-Light"/>
                <w:b/>
              </w:rPr>
              <w:t>2b</w:t>
            </w:r>
            <w:r w:rsidRPr="00B5204D">
              <w:rPr>
                <w:rFonts w:ascii="Calibri" w:eastAsia="AvenirLTStd-Light" w:hAnsi="Calibri" w:cs="AvenirLTStd-Light"/>
                <w:b/>
              </w:rPr>
              <w:t xml:space="preserve">.1 </w:t>
            </w:r>
            <w:r w:rsidRPr="00D3750D">
              <w:rPr>
                <w:rFonts w:ascii="Calibri" w:eastAsia="AvenirLTStd-Light" w:hAnsi="Calibri" w:cs="AvenirLTStd-Light"/>
                <w:b/>
              </w:rPr>
              <w:t xml:space="preserve">Wetenschappelijk onderzoek als </w:t>
            </w:r>
            <w:r>
              <w:rPr>
                <w:rFonts w:ascii="Calibri" w:eastAsia="AvenirLTStd-Light" w:hAnsi="Calibri" w:cs="AvenirLTStd-Light"/>
                <w:b/>
              </w:rPr>
              <w:t>vast onderdeel in de opleiding</w:t>
            </w:r>
          </w:p>
        </w:tc>
      </w:tr>
      <w:tr w:rsidR="00D372AA" w:rsidRPr="00D372AA" w14:paraId="156E2A55" w14:textId="77777777" w:rsidTr="00D64BFA">
        <w:tc>
          <w:tcPr>
            <w:tcW w:w="8188" w:type="dxa"/>
            <w:gridSpan w:val="7"/>
            <w:tcBorders>
              <w:bottom w:val="single" w:sz="4" w:space="0" w:color="auto"/>
            </w:tcBorders>
          </w:tcPr>
          <w:p w14:paraId="5D9838B6" w14:textId="7442B50A" w:rsidR="00D372AA" w:rsidRPr="00D372AA" w:rsidRDefault="00D372AA" w:rsidP="00D64BFA">
            <w:pPr>
              <w:autoSpaceDE w:val="0"/>
              <w:autoSpaceDN w:val="0"/>
              <w:adjustRightInd w:val="0"/>
              <w:spacing w:after="0"/>
              <w:rPr>
                <w:rFonts w:cs="Lucida Sans Unicode"/>
                <w:b/>
                <w:i/>
              </w:rPr>
            </w:pPr>
            <w:r w:rsidRPr="00D372AA">
              <w:rPr>
                <w:rFonts w:eastAsia="AvenirLTStd-Light" w:cs="AvenirLTStd-Light"/>
                <w:i/>
              </w:rPr>
              <w:t>Voor alle aios is wetenschappelijk onderzoek een vast onderdeel van de opleiding. Dit houdt zowel in dat wetenschappelijk onderzoek aangeboden wordt in het onderwijs als dat aios gebruik kunnen maken van een aanbod voor wetenschappelijk onderzoek als keuzestage gedurende een aaneengesloten periode.</w:t>
            </w:r>
          </w:p>
        </w:tc>
        <w:tc>
          <w:tcPr>
            <w:tcW w:w="934" w:type="dxa"/>
            <w:tcBorders>
              <w:bottom w:val="single" w:sz="4" w:space="0" w:color="auto"/>
            </w:tcBorders>
          </w:tcPr>
          <w:p w14:paraId="33C486A5" w14:textId="77777777" w:rsidR="00D372AA" w:rsidRPr="00D372AA" w:rsidRDefault="00D372AA" w:rsidP="00D64BFA">
            <w:pPr>
              <w:autoSpaceDE w:val="0"/>
              <w:autoSpaceDN w:val="0"/>
              <w:adjustRightInd w:val="0"/>
              <w:spacing w:after="0"/>
              <w:jc w:val="right"/>
              <w:rPr>
                <w:rFonts w:cs="Lucida Sans Unicode"/>
                <w:b/>
                <w:i/>
              </w:rPr>
            </w:pPr>
          </w:p>
        </w:tc>
      </w:tr>
      <w:tr w:rsidR="00554400" w:rsidRPr="0043646A" w14:paraId="28099E68" w14:textId="77777777" w:rsidTr="00A83700">
        <w:trPr>
          <w:trHeight w:val="633"/>
        </w:trPr>
        <w:tc>
          <w:tcPr>
            <w:tcW w:w="8188" w:type="dxa"/>
            <w:gridSpan w:val="7"/>
            <w:shd w:val="pct10" w:color="auto" w:fill="auto"/>
          </w:tcPr>
          <w:p w14:paraId="3FAB96FF" w14:textId="7BFCFB1B" w:rsidR="00554400" w:rsidRPr="00554400" w:rsidRDefault="00554400" w:rsidP="00B437BC">
            <w:pPr>
              <w:pStyle w:val="Lijstalinea"/>
              <w:numPr>
                <w:ilvl w:val="0"/>
                <w:numId w:val="2"/>
              </w:numPr>
              <w:autoSpaceDE w:val="0"/>
              <w:autoSpaceDN w:val="0"/>
              <w:adjustRightInd w:val="0"/>
              <w:rPr>
                <w:rFonts w:ascii="Calibri" w:eastAsia="AvenirLTStd-Light" w:hAnsi="Calibri"/>
              </w:rPr>
            </w:pPr>
            <w:r w:rsidRPr="00554400">
              <w:rPr>
                <w:rFonts w:ascii="Calibri" w:eastAsia="AvenirLTStd-Light" w:hAnsi="Calibri" w:cs="AvenirLTStd-Light"/>
              </w:rPr>
              <w:t>De keuzestage wetenschappelijk onderzoek wordt door het instituut gefaciliteerd</w:t>
            </w:r>
            <w:r w:rsidR="00B437BC">
              <w:rPr>
                <w:rFonts w:ascii="Calibri" w:eastAsia="AvenirLTStd-Light" w:hAnsi="Calibri" w:cs="AvenirLTStd-Light"/>
              </w:rPr>
              <w:t>.</w:t>
            </w:r>
          </w:p>
        </w:tc>
        <w:tc>
          <w:tcPr>
            <w:tcW w:w="934" w:type="dxa"/>
            <w:shd w:val="pct10" w:color="auto" w:fill="auto"/>
          </w:tcPr>
          <w:p w14:paraId="34CC98AB" w14:textId="49FFAB11" w:rsidR="00554400" w:rsidRPr="00914F2A" w:rsidRDefault="00872E26" w:rsidP="00554400">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554400" w:rsidRPr="0043646A" w14:paraId="1493EF90" w14:textId="77777777" w:rsidTr="00A83700">
        <w:trPr>
          <w:trHeight w:val="938"/>
        </w:trPr>
        <w:tc>
          <w:tcPr>
            <w:tcW w:w="9122" w:type="dxa"/>
            <w:gridSpan w:val="8"/>
            <w:tcBorders>
              <w:bottom w:val="single" w:sz="4" w:space="0" w:color="auto"/>
            </w:tcBorders>
          </w:tcPr>
          <w:p w14:paraId="140EBDCC" w14:textId="77777777" w:rsidR="00554400" w:rsidRPr="00914F2A" w:rsidRDefault="00554400" w:rsidP="0054049D">
            <w:pPr>
              <w:autoSpaceDE w:val="0"/>
              <w:autoSpaceDN w:val="0"/>
              <w:adjustRightInd w:val="0"/>
              <w:spacing w:after="0"/>
              <w:rPr>
                <w:rFonts w:ascii="Calibri" w:eastAsia="AvenirLTStd-Light" w:hAnsi="Calibri" w:cs="AvenirLTStd-Light"/>
              </w:rPr>
            </w:pPr>
          </w:p>
        </w:tc>
      </w:tr>
      <w:tr w:rsidR="00554400" w:rsidRPr="0043646A" w14:paraId="778955E4" w14:textId="77777777" w:rsidTr="00A83700">
        <w:tc>
          <w:tcPr>
            <w:tcW w:w="1526" w:type="dxa"/>
            <w:shd w:val="pct10" w:color="auto" w:fill="auto"/>
          </w:tcPr>
          <w:p w14:paraId="0A5A207D"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3E9CFF3A"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27F8272B"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760360F4"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AAB63A7"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1C1AF6FB"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5181B1A8"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54400" w:rsidRPr="0043646A" w14:paraId="633E6C4D" w14:textId="77777777" w:rsidTr="00A83700">
        <w:tc>
          <w:tcPr>
            <w:tcW w:w="9122" w:type="dxa"/>
            <w:gridSpan w:val="8"/>
            <w:tcBorders>
              <w:bottom w:val="single" w:sz="4" w:space="0" w:color="auto"/>
            </w:tcBorders>
          </w:tcPr>
          <w:p w14:paraId="6AB10031" w14:textId="77777777" w:rsidR="00554400"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3613517" w14:textId="77777777" w:rsidR="00554400" w:rsidRPr="005A198C" w:rsidRDefault="00554400" w:rsidP="0054049D">
            <w:pPr>
              <w:autoSpaceDE w:val="0"/>
              <w:autoSpaceDN w:val="0"/>
              <w:adjustRightInd w:val="0"/>
              <w:spacing w:after="0"/>
              <w:rPr>
                <w:rFonts w:ascii="Calibri" w:eastAsia="AvenirLTStd-Light" w:hAnsi="Calibri" w:cs="AvenirLTStd-Light"/>
              </w:rPr>
            </w:pPr>
          </w:p>
        </w:tc>
      </w:tr>
      <w:tr w:rsidR="00554400" w:rsidRPr="0043646A" w14:paraId="350D84B7" w14:textId="77777777" w:rsidTr="00A83700">
        <w:tc>
          <w:tcPr>
            <w:tcW w:w="8188" w:type="dxa"/>
            <w:gridSpan w:val="7"/>
            <w:shd w:val="pct10" w:color="auto" w:fill="auto"/>
          </w:tcPr>
          <w:p w14:paraId="6CCDA19C" w14:textId="1C571A12" w:rsidR="00554400" w:rsidRPr="00554400" w:rsidRDefault="00554400" w:rsidP="00B437BC">
            <w:pPr>
              <w:pStyle w:val="Lijstalinea"/>
              <w:numPr>
                <w:ilvl w:val="0"/>
                <w:numId w:val="2"/>
              </w:numPr>
              <w:autoSpaceDE w:val="0"/>
              <w:autoSpaceDN w:val="0"/>
              <w:adjustRightInd w:val="0"/>
              <w:spacing w:after="0"/>
              <w:rPr>
                <w:rFonts w:ascii="Calibri" w:eastAsia="AvenirLTStd-Light" w:hAnsi="Calibri" w:cs="AvenirLTStd-Light"/>
              </w:rPr>
            </w:pPr>
            <w:r w:rsidRPr="00554400">
              <w:rPr>
                <w:rFonts w:ascii="Calibri" w:eastAsia="AvenirLTStd-Light" w:hAnsi="Calibri" w:cs="AvenirLTStd-Light"/>
              </w:rPr>
              <w:t xml:space="preserve">Per </w:t>
            </w:r>
            <w:r w:rsidR="00D64BFA">
              <w:rPr>
                <w:rFonts w:ascii="Calibri" w:eastAsia="AvenirLTStd-Light" w:hAnsi="Calibri" w:cs="AvenirLTStd-Light"/>
              </w:rPr>
              <w:t>kalender</w:t>
            </w:r>
            <w:r w:rsidRPr="00554400">
              <w:rPr>
                <w:rFonts w:ascii="Calibri" w:eastAsia="AvenirLTStd-Light" w:hAnsi="Calibri" w:cs="AvenirLTStd-Light"/>
              </w:rPr>
              <w:t>jaar maken minimaal drie aios gebruik van de keuzestage</w:t>
            </w:r>
            <w:r>
              <w:rPr>
                <w:rFonts w:ascii="Calibri" w:eastAsia="AvenirLTStd-Light" w:hAnsi="Calibri" w:cs="AvenirLTStd-Light"/>
              </w:rPr>
              <w:t>.</w:t>
            </w:r>
          </w:p>
        </w:tc>
        <w:tc>
          <w:tcPr>
            <w:tcW w:w="934" w:type="dxa"/>
            <w:shd w:val="pct10" w:color="auto" w:fill="auto"/>
          </w:tcPr>
          <w:p w14:paraId="27BDBD22" w14:textId="70528D08" w:rsidR="00554400" w:rsidRPr="00914F2A" w:rsidRDefault="00872E26" w:rsidP="0054049D">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554400" w:rsidRPr="0043646A" w14:paraId="0D217C27" w14:textId="77777777" w:rsidTr="00A83700">
        <w:trPr>
          <w:trHeight w:val="551"/>
        </w:trPr>
        <w:tc>
          <w:tcPr>
            <w:tcW w:w="9122" w:type="dxa"/>
            <w:gridSpan w:val="8"/>
            <w:tcBorders>
              <w:bottom w:val="single" w:sz="4" w:space="0" w:color="auto"/>
            </w:tcBorders>
          </w:tcPr>
          <w:p w14:paraId="62A91F45" w14:textId="77777777" w:rsidR="00554400" w:rsidRPr="00914F2A" w:rsidRDefault="00554400" w:rsidP="0054049D">
            <w:pPr>
              <w:autoSpaceDE w:val="0"/>
              <w:autoSpaceDN w:val="0"/>
              <w:adjustRightInd w:val="0"/>
              <w:spacing w:after="0"/>
              <w:rPr>
                <w:rFonts w:ascii="Calibri" w:eastAsia="AvenirLTStd-Light" w:hAnsi="Calibri" w:cs="AvenirLTStd-Light"/>
              </w:rPr>
            </w:pPr>
          </w:p>
        </w:tc>
      </w:tr>
      <w:tr w:rsidR="00554400" w:rsidRPr="0043646A" w14:paraId="45732717" w14:textId="77777777" w:rsidTr="00A83700">
        <w:tc>
          <w:tcPr>
            <w:tcW w:w="1526" w:type="dxa"/>
            <w:shd w:val="pct10" w:color="auto" w:fill="auto"/>
          </w:tcPr>
          <w:p w14:paraId="58A48EBA"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3C045601"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0D643570"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5862D1B1"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6213627E"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1CB66AE5"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1D2F94FB"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54400" w:rsidRPr="0043646A" w14:paraId="02314BAC" w14:textId="77777777" w:rsidTr="00A83700">
        <w:tc>
          <w:tcPr>
            <w:tcW w:w="9122" w:type="dxa"/>
            <w:gridSpan w:val="8"/>
            <w:tcBorders>
              <w:bottom w:val="single" w:sz="4" w:space="0" w:color="auto"/>
            </w:tcBorders>
          </w:tcPr>
          <w:p w14:paraId="6DAF8940" w14:textId="77777777" w:rsidR="00554400" w:rsidRPr="005B2234"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554400" w:rsidRPr="0043646A" w14:paraId="207AFD58" w14:textId="77777777" w:rsidTr="00A83700">
        <w:tc>
          <w:tcPr>
            <w:tcW w:w="8188" w:type="dxa"/>
            <w:gridSpan w:val="7"/>
            <w:shd w:val="pct10" w:color="auto" w:fill="auto"/>
          </w:tcPr>
          <w:p w14:paraId="3830BCDB" w14:textId="60F115EA" w:rsidR="00554400" w:rsidRPr="00554400" w:rsidRDefault="00554400" w:rsidP="00B437BC">
            <w:pPr>
              <w:pStyle w:val="Lijstalinea"/>
              <w:numPr>
                <w:ilvl w:val="0"/>
                <w:numId w:val="2"/>
              </w:numPr>
              <w:autoSpaceDE w:val="0"/>
              <w:autoSpaceDN w:val="0"/>
              <w:adjustRightInd w:val="0"/>
              <w:rPr>
                <w:rFonts w:ascii="Calibri" w:eastAsia="AvenirLTStd-Light" w:hAnsi="Calibri"/>
              </w:rPr>
            </w:pPr>
            <w:r w:rsidRPr="00554400">
              <w:rPr>
                <w:rFonts w:ascii="Calibri" w:eastAsia="AvenirLTStd-Light" w:hAnsi="Calibri"/>
              </w:rPr>
              <w:t>Alle aios</w:t>
            </w:r>
            <w:r w:rsidR="000937AA">
              <w:rPr>
                <w:rFonts w:ascii="Calibri" w:eastAsia="AvenirLTStd-Light" w:hAnsi="Calibri"/>
              </w:rPr>
              <w:t xml:space="preserve"> (gepromoveerden uitgezonderd) </w:t>
            </w:r>
            <w:r w:rsidRPr="00554400">
              <w:rPr>
                <w:rFonts w:ascii="Calibri" w:eastAsia="AvenirLTStd-Light" w:hAnsi="Calibri"/>
              </w:rPr>
              <w:t xml:space="preserve"> nemen deel aan wetenschappelijk onderzoek tijdens de opleiding</w:t>
            </w:r>
            <w:r w:rsidR="00B437BC">
              <w:rPr>
                <w:rFonts w:ascii="Calibri" w:eastAsia="AvenirLTStd-Light" w:hAnsi="Calibri"/>
              </w:rPr>
              <w:t>.</w:t>
            </w:r>
          </w:p>
        </w:tc>
        <w:tc>
          <w:tcPr>
            <w:tcW w:w="934" w:type="dxa"/>
            <w:shd w:val="pct10" w:color="auto" w:fill="auto"/>
          </w:tcPr>
          <w:p w14:paraId="40CA0051" w14:textId="29F94E4A" w:rsidR="00554400" w:rsidRPr="00914F2A" w:rsidRDefault="00872E26" w:rsidP="0054049D">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554400" w:rsidRPr="0043646A" w14:paraId="5B630527" w14:textId="77777777" w:rsidTr="00A83700">
        <w:trPr>
          <w:trHeight w:val="263"/>
        </w:trPr>
        <w:tc>
          <w:tcPr>
            <w:tcW w:w="9122" w:type="dxa"/>
            <w:gridSpan w:val="8"/>
            <w:tcBorders>
              <w:bottom w:val="single" w:sz="4" w:space="0" w:color="auto"/>
            </w:tcBorders>
          </w:tcPr>
          <w:p w14:paraId="2955CB3F" w14:textId="77777777" w:rsidR="00554400" w:rsidRPr="00914F2A" w:rsidRDefault="00554400" w:rsidP="0054049D">
            <w:pPr>
              <w:autoSpaceDE w:val="0"/>
              <w:autoSpaceDN w:val="0"/>
              <w:adjustRightInd w:val="0"/>
              <w:spacing w:after="0"/>
              <w:rPr>
                <w:rFonts w:ascii="Calibri" w:eastAsia="AvenirLTStd-Light" w:hAnsi="Calibri" w:cs="AvenirLTStd-Light"/>
              </w:rPr>
            </w:pPr>
          </w:p>
        </w:tc>
      </w:tr>
      <w:tr w:rsidR="00554400" w:rsidRPr="0043646A" w14:paraId="0A7D1865" w14:textId="77777777" w:rsidTr="00A83700">
        <w:tc>
          <w:tcPr>
            <w:tcW w:w="1526" w:type="dxa"/>
            <w:shd w:val="pct10" w:color="auto" w:fill="auto"/>
          </w:tcPr>
          <w:p w14:paraId="00C99E23"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1C44695"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1D49FDD"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0505CF82"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4AF66932"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6A2E7B21"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14368445" w14:textId="77777777" w:rsidR="00554400" w:rsidRPr="00ED4477"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54400" w:rsidRPr="0043646A" w14:paraId="177EBB4B" w14:textId="77777777" w:rsidTr="00A83700">
        <w:tc>
          <w:tcPr>
            <w:tcW w:w="9122" w:type="dxa"/>
            <w:gridSpan w:val="8"/>
            <w:tcBorders>
              <w:bottom w:val="single" w:sz="4" w:space="0" w:color="auto"/>
            </w:tcBorders>
          </w:tcPr>
          <w:p w14:paraId="7C1D9F8C" w14:textId="77777777" w:rsidR="00554400" w:rsidRPr="0011496A" w:rsidRDefault="00554400"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D709F7" w:rsidRPr="0043646A" w14:paraId="19D8AE58" w14:textId="77777777" w:rsidTr="00A83700">
        <w:tc>
          <w:tcPr>
            <w:tcW w:w="8188" w:type="dxa"/>
            <w:gridSpan w:val="7"/>
            <w:shd w:val="pct10" w:color="auto" w:fill="auto"/>
          </w:tcPr>
          <w:p w14:paraId="73E3E26B" w14:textId="202F459D" w:rsidR="00D709F7" w:rsidRPr="00554400" w:rsidRDefault="00D709F7" w:rsidP="00B437BC">
            <w:pPr>
              <w:pStyle w:val="Lijstalinea"/>
              <w:numPr>
                <w:ilvl w:val="0"/>
                <w:numId w:val="2"/>
              </w:numPr>
              <w:autoSpaceDE w:val="0"/>
              <w:autoSpaceDN w:val="0"/>
              <w:adjustRightInd w:val="0"/>
              <w:spacing w:after="0"/>
              <w:rPr>
                <w:rFonts w:ascii="Calibri" w:eastAsia="AvenirLTStd-Light" w:hAnsi="Calibri" w:cs="AvenirLTStd-Light"/>
              </w:rPr>
            </w:pPr>
            <w:r w:rsidRPr="00554400">
              <w:rPr>
                <w:rFonts w:ascii="Calibri" w:eastAsia="AvenirLTStd-Light" w:hAnsi="Calibri" w:cs="AvenirLTStd-Light"/>
              </w:rPr>
              <w:t>Iedere aios presenteert minimaal eenmaal per opleiding op een door het instituut aangewezen moment, bv tijdens wetenschapslunches, referaat middagen, etc.</w:t>
            </w:r>
            <w:r w:rsidR="004B205C">
              <w:rPr>
                <w:rFonts w:ascii="Calibri" w:eastAsia="AvenirLTStd-Light" w:hAnsi="Calibri" w:cs="AvenirLTStd-Light"/>
              </w:rPr>
              <w:t xml:space="preserve"> </w:t>
            </w:r>
          </w:p>
        </w:tc>
        <w:tc>
          <w:tcPr>
            <w:tcW w:w="934" w:type="dxa"/>
            <w:shd w:val="pct10" w:color="auto" w:fill="auto"/>
          </w:tcPr>
          <w:p w14:paraId="0872093A" w14:textId="5C3D3364" w:rsidR="00D709F7" w:rsidRPr="00914F2A" w:rsidRDefault="00872E26" w:rsidP="0054049D">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D709F7" w:rsidRPr="0043646A" w14:paraId="632C80CC" w14:textId="77777777" w:rsidTr="00A83700">
        <w:trPr>
          <w:trHeight w:val="569"/>
        </w:trPr>
        <w:tc>
          <w:tcPr>
            <w:tcW w:w="9122" w:type="dxa"/>
            <w:gridSpan w:val="8"/>
            <w:tcBorders>
              <w:bottom w:val="single" w:sz="4" w:space="0" w:color="auto"/>
            </w:tcBorders>
          </w:tcPr>
          <w:p w14:paraId="28A52942" w14:textId="77777777" w:rsidR="00D709F7" w:rsidRPr="00914F2A" w:rsidRDefault="00D709F7" w:rsidP="0054049D">
            <w:pPr>
              <w:autoSpaceDE w:val="0"/>
              <w:autoSpaceDN w:val="0"/>
              <w:adjustRightInd w:val="0"/>
              <w:spacing w:after="0"/>
              <w:rPr>
                <w:rFonts w:ascii="Calibri" w:eastAsia="AvenirLTStd-Light" w:hAnsi="Calibri" w:cs="AvenirLTStd-Light"/>
              </w:rPr>
            </w:pPr>
          </w:p>
        </w:tc>
      </w:tr>
      <w:tr w:rsidR="00D709F7" w:rsidRPr="0043646A" w14:paraId="2B66F9CE" w14:textId="77777777" w:rsidTr="00A83700">
        <w:tc>
          <w:tcPr>
            <w:tcW w:w="1526" w:type="dxa"/>
            <w:shd w:val="pct10" w:color="auto" w:fill="auto"/>
          </w:tcPr>
          <w:p w14:paraId="3D55F850"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623E59D"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4A2C75A0"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26A960CE"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4AF384F8"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B40F887"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068B5C77"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D709F7" w:rsidRPr="0043646A" w14:paraId="2BD1B8ED" w14:textId="77777777" w:rsidTr="00A83700">
        <w:tc>
          <w:tcPr>
            <w:tcW w:w="9122" w:type="dxa"/>
            <w:gridSpan w:val="8"/>
            <w:tcBorders>
              <w:bottom w:val="single" w:sz="4" w:space="0" w:color="auto"/>
            </w:tcBorders>
          </w:tcPr>
          <w:p w14:paraId="288A0CA2" w14:textId="77777777" w:rsidR="00D709F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p>
          <w:p w14:paraId="5313708D" w14:textId="77777777" w:rsidR="00D709F7" w:rsidRPr="008E3979" w:rsidRDefault="00D709F7" w:rsidP="0054049D">
            <w:pPr>
              <w:pStyle w:val="Lijstalinea"/>
              <w:autoSpaceDE w:val="0"/>
              <w:autoSpaceDN w:val="0"/>
              <w:adjustRightInd w:val="0"/>
              <w:spacing w:after="0"/>
              <w:ind w:left="360"/>
              <w:rPr>
                <w:rFonts w:ascii="Calibri" w:eastAsia="AvenirLTStd-Light" w:hAnsi="Calibri" w:cs="AvenirLTStd-Light"/>
              </w:rPr>
            </w:pPr>
          </w:p>
        </w:tc>
      </w:tr>
      <w:tr w:rsidR="00D709F7" w:rsidRPr="00914F2A" w14:paraId="1F40086D" w14:textId="77777777" w:rsidTr="00A83700">
        <w:tc>
          <w:tcPr>
            <w:tcW w:w="8188" w:type="dxa"/>
            <w:gridSpan w:val="7"/>
            <w:shd w:val="pct10" w:color="auto" w:fill="auto"/>
          </w:tcPr>
          <w:p w14:paraId="27B01E90" w14:textId="6E0A6EF9" w:rsidR="00D709F7" w:rsidRPr="00F71FBA" w:rsidRDefault="00D709F7" w:rsidP="00B437BC">
            <w:pPr>
              <w:pStyle w:val="Lijstalinea"/>
              <w:numPr>
                <w:ilvl w:val="0"/>
                <w:numId w:val="2"/>
              </w:numPr>
              <w:autoSpaceDE w:val="0"/>
              <w:autoSpaceDN w:val="0"/>
              <w:adjustRightInd w:val="0"/>
              <w:spacing w:after="0"/>
              <w:ind w:left="284" w:hanging="284"/>
              <w:rPr>
                <w:rFonts w:ascii="Calibri" w:eastAsia="AvenirLTStd-Light" w:hAnsi="Calibri" w:cs="AvenirLTStd-Light"/>
              </w:rPr>
            </w:pPr>
            <w:r>
              <w:rPr>
                <w:rFonts w:ascii="Calibri" w:eastAsia="AvenirLTStd-Light" w:hAnsi="Calibri" w:cs="AvenirLTStd-Light"/>
              </w:rPr>
              <w:t>P</w:t>
            </w:r>
            <w:r w:rsidRPr="004A07A8">
              <w:rPr>
                <w:rFonts w:ascii="Calibri" w:eastAsia="AvenirLTStd-Light" w:hAnsi="Calibri" w:cs="AvenirLTStd-Light"/>
              </w:rPr>
              <w:t xml:space="preserve">resentatie van onderzoek op </w:t>
            </w:r>
            <w:r>
              <w:rPr>
                <w:rFonts w:ascii="Calibri" w:eastAsia="AvenirLTStd-Light" w:hAnsi="Calibri" w:cs="AvenirLTStd-Light"/>
              </w:rPr>
              <w:t xml:space="preserve">(inter)nationale </w:t>
            </w:r>
            <w:r w:rsidRPr="004A07A8">
              <w:rPr>
                <w:rFonts w:ascii="Calibri" w:eastAsia="AvenirLTStd-Light" w:hAnsi="Calibri" w:cs="AvenirLTStd-Light"/>
              </w:rPr>
              <w:t>congr</w:t>
            </w:r>
            <w:r w:rsidR="00B437BC">
              <w:rPr>
                <w:rFonts w:ascii="Calibri" w:eastAsia="AvenirLTStd-Light" w:hAnsi="Calibri" w:cs="AvenirLTStd-Light"/>
              </w:rPr>
              <w:t xml:space="preserve">essen (=/&gt;5 presentaties/jaar) </w:t>
            </w:r>
            <w:r>
              <w:rPr>
                <w:rFonts w:ascii="Calibri" w:eastAsia="AvenirLTStd-Light" w:hAnsi="Calibri" w:cs="AvenirLTStd-Light"/>
              </w:rPr>
              <w:t>en / of p</w:t>
            </w:r>
            <w:r w:rsidRPr="004A07A8">
              <w:rPr>
                <w:rFonts w:ascii="Calibri" w:eastAsia="AvenirLTStd-Light" w:hAnsi="Calibri" w:cs="AvenirLTStd-Light"/>
              </w:rPr>
              <w:t>ublicatie va</w:t>
            </w:r>
            <w:r>
              <w:rPr>
                <w:rFonts w:ascii="Calibri" w:eastAsia="AvenirLTStd-Light" w:hAnsi="Calibri" w:cs="AvenirLTStd-Light"/>
              </w:rPr>
              <w:t>n onderzoek in Nederlandstalige v</w:t>
            </w:r>
            <w:r w:rsidRPr="004A07A8">
              <w:rPr>
                <w:rFonts w:ascii="Calibri" w:eastAsia="AvenirLTStd-Light" w:hAnsi="Calibri" w:cs="AvenirLTStd-Light"/>
              </w:rPr>
              <w:t>akbladen/wetenschappelijke tijdschriften</w:t>
            </w:r>
            <w:r>
              <w:rPr>
                <w:rFonts w:ascii="Calibri" w:eastAsia="AvenirLTStd-Light" w:hAnsi="Calibri" w:cs="AvenirLTStd-Light"/>
              </w:rPr>
              <w:t xml:space="preserve"> (=/&gt;5 publicaties/jaar) of</w:t>
            </w:r>
            <w:r w:rsidRPr="004A07A8">
              <w:rPr>
                <w:rFonts w:ascii="Calibri" w:eastAsia="AvenirLTStd-Light" w:hAnsi="Calibri" w:cs="AvenirLTStd-Light"/>
              </w:rPr>
              <w:t xml:space="preserve"> </w:t>
            </w:r>
            <w:r>
              <w:rPr>
                <w:rFonts w:ascii="Calibri" w:eastAsia="AvenirLTStd-Light" w:hAnsi="Calibri" w:cs="AvenirLTStd-Light"/>
              </w:rPr>
              <w:t>E</w:t>
            </w:r>
            <w:r w:rsidRPr="004A07A8">
              <w:rPr>
                <w:rFonts w:ascii="Calibri" w:eastAsia="AvenirLTStd-Light" w:hAnsi="Calibri" w:cs="AvenirLTStd-Light"/>
              </w:rPr>
              <w:t>ng</w:t>
            </w:r>
            <w:r>
              <w:rPr>
                <w:rFonts w:ascii="Calibri" w:eastAsia="AvenirLTStd-Light" w:hAnsi="Calibri" w:cs="AvenirLTStd-Light"/>
              </w:rPr>
              <w:t>e</w:t>
            </w:r>
            <w:r w:rsidRPr="004A07A8">
              <w:rPr>
                <w:rFonts w:ascii="Calibri" w:eastAsia="AvenirLTStd-Light" w:hAnsi="Calibri" w:cs="AvenirLTStd-Light"/>
              </w:rPr>
              <w:t>lstalige wetenschappelijke tijdschriften</w:t>
            </w:r>
            <w:r>
              <w:rPr>
                <w:rFonts w:ascii="Calibri" w:eastAsia="AvenirLTStd-Light" w:hAnsi="Calibri" w:cs="AvenirLTStd-Light"/>
              </w:rPr>
              <w:t xml:space="preserve"> (=/&gt;3 </w:t>
            </w:r>
            <w:r w:rsidR="00B437BC">
              <w:rPr>
                <w:rFonts w:ascii="Calibri" w:eastAsia="AvenirLTStd-Light" w:hAnsi="Calibri" w:cs="AvenirLTStd-Light"/>
              </w:rPr>
              <w:t>publicaties/jaar</w:t>
            </w:r>
            <w:r>
              <w:rPr>
                <w:rFonts w:ascii="Calibri" w:eastAsia="AvenirLTStd-Light" w:hAnsi="Calibri" w:cs="AvenirLTStd-Light"/>
              </w:rPr>
              <w:t xml:space="preserve">) </w:t>
            </w:r>
          </w:p>
        </w:tc>
        <w:tc>
          <w:tcPr>
            <w:tcW w:w="934" w:type="dxa"/>
            <w:shd w:val="pct10" w:color="auto" w:fill="auto"/>
          </w:tcPr>
          <w:p w14:paraId="2A913236" w14:textId="32E95A3F" w:rsidR="00D709F7" w:rsidRPr="00914F2A" w:rsidRDefault="00872E26" w:rsidP="0054049D">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D709F7" w:rsidRPr="00914F2A" w14:paraId="0EDD6C83" w14:textId="77777777" w:rsidTr="00A83700">
        <w:trPr>
          <w:trHeight w:val="569"/>
        </w:trPr>
        <w:tc>
          <w:tcPr>
            <w:tcW w:w="9122" w:type="dxa"/>
            <w:gridSpan w:val="8"/>
            <w:tcBorders>
              <w:bottom w:val="single" w:sz="4" w:space="0" w:color="auto"/>
            </w:tcBorders>
          </w:tcPr>
          <w:p w14:paraId="76900A06" w14:textId="77777777" w:rsidR="00D709F7" w:rsidRPr="00914F2A" w:rsidRDefault="00D709F7" w:rsidP="0054049D">
            <w:pPr>
              <w:autoSpaceDE w:val="0"/>
              <w:autoSpaceDN w:val="0"/>
              <w:adjustRightInd w:val="0"/>
              <w:spacing w:after="0"/>
              <w:rPr>
                <w:rFonts w:ascii="Calibri" w:eastAsia="AvenirLTStd-Light" w:hAnsi="Calibri" w:cs="AvenirLTStd-Light"/>
              </w:rPr>
            </w:pPr>
          </w:p>
        </w:tc>
      </w:tr>
      <w:tr w:rsidR="00D709F7" w:rsidRPr="00ED4477" w14:paraId="6534D1B4" w14:textId="77777777" w:rsidTr="00A83700">
        <w:tc>
          <w:tcPr>
            <w:tcW w:w="1526" w:type="dxa"/>
            <w:shd w:val="pct10" w:color="auto" w:fill="auto"/>
          </w:tcPr>
          <w:p w14:paraId="5F989975"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lastRenderedPageBreak/>
              <w:t>Prioriteit:</w:t>
            </w:r>
          </w:p>
        </w:tc>
        <w:tc>
          <w:tcPr>
            <w:tcW w:w="1134" w:type="dxa"/>
            <w:shd w:val="pct10" w:color="auto" w:fill="auto"/>
          </w:tcPr>
          <w:p w14:paraId="7C43FC5C"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573553FA"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3E36FB8"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741ADC7"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6DB46D27"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3DCC6468"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D709F7" w:rsidRPr="008E3979" w14:paraId="25212BD4" w14:textId="77777777" w:rsidTr="0054049D">
        <w:tc>
          <w:tcPr>
            <w:tcW w:w="9122" w:type="dxa"/>
            <w:gridSpan w:val="8"/>
          </w:tcPr>
          <w:p w14:paraId="365DE41F" w14:textId="77777777" w:rsidR="00D709F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p>
          <w:p w14:paraId="4B054B28" w14:textId="77777777" w:rsidR="00D709F7" w:rsidRPr="008E3979" w:rsidRDefault="00D709F7" w:rsidP="0054049D">
            <w:pPr>
              <w:pStyle w:val="Lijstalinea"/>
              <w:autoSpaceDE w:val="0"/>
              <w:autoSpaceDN w:val="0"/>
              <w:adjustRightInd w:val="0"/>
              <w:spacing w:after="0"/>
              <w:ind w:left="360"/>
              <w:rPr>
                <w:rFonts w:ascii="Calibri" w:eastAsia="AvenirLTStd-Light" w:hAnsi="Calibri" w:cs="AvenirLTStd-Light"/>
              </w:rPr>
            </w:pPr>
          </w:p>
        </w:tc>
      </w:tr>
    </w:tbl>
    <w:p w14:paraId="049B25E2" w14:textId="3DE74C46" w:rsidR="00554400" w:rsidRDefault="00554400" w:rsidP="005544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D709F7" w:rsidRPr="00B5204D" w14:paraId="25C36FD0" w14:textId="77777777" w:rsidTr="0054049D">
        <w:tc>
          <w:tcPr>
            <w:tcW w:w="9122" w:type="dxa"/>
            <w:gridSpan w:val="8"/>
            <w:shd w:val="clear" w:color="auto" w:fill="auto"/>
          </w:tcPr>
          <w:p w14:paraId="4F08F59D" w14:textId="77777777" w:rsidR="00D709F7" w:rsidRPr="00B5204D" w:rsidRDefault="00D709F7" w:rsidP="00D709F7">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Pr>
                <w:rFonts w:ascii="Calibri" w:eastAsia="AvenirLTStd-Light" w:hAnsi="Calibri" w:cs="AvenirLTStd-Light"/>
                <w:b/>
              </w:rPr>
              <w:t>2b</w:t>
            </w:r>
            <w:r w:rsidRPr="00B5204D">
              <w:rPr>
                <w:rFonts w:ascii="Calibri" w:eastAsia="AvenirLTStd-Light" w:hAnsi="Calibri" w:cs="AvenirLTStd-Light"/>
                <w:b/>
              </w:rPr>
              <w:t>.</w:t>
            </w:r>
            <w:r>
              <w:rPr>
                <w:rFonts w:ascii="Calibri" w:eastAsia="AvenirLTStd-Light" w:hAnsi="Calibri" w:cs="AvenirLTStd-Light"/>
                <w:b/>
              </w:rPr>
              <w:t>2</w:t>
            </w:r>
            <w:r w:rsidRPr="00B5204D">
              <w:rPr>
                <w:rFonts w:ascii="Calibri" w:eastAsia="AvenirLTStd-Light" w:hAnsi="Calibri" w:cs="AvenirLTStd-Light"/>
                <w:b/>
              </w:rPr>
              <w:t xml:space="preserve"> </w:t>
            </w:r>
            <w:r w:rsidRPr="00D709F7">
              <w:rPr>
                <w:rFonts w:ascii="Calibri" w:eastAsia="AvenirLTStd-Light" w:hAnsi="Calibri" w:cs="AvenirLTStd-Light"/>
                <w:b/>
              </w:rPr>
              <w:t>Percentage aioto’s in de opleiding</w:t>
            </w:r>
          </w:p>
        </w:tc>
      </w:tr>
      <w:tr w:rsidR="00D372AA" w:rsidRPr="00D372AA" w14:paraId="68454AF1" w14:textId="77777777" w:rsidTr="00D64BFA">
        <w:tc>
          <w:tcPr>
            <w:tcW w:w="8188" w:type="dxa"/>
            <w:gridSpan w:val="7"/>
            <w:tcBorders>
              <w:bottom w:val="single" w:sz="4" w:space="0" w:color="auto"/>
            </w:tcBorders>
          </w:tcPr>
          <w:p w14:paraId="3CD5EC7C" w14:textId="1AE755D8" w:rsidR="00D372AA" w:rsidRPr="00D372AA" w:rsidRDefault="00D372AA" w:rsidP="00D64BFA">
            <w:pPr>
              <w:autoSpaceDE w:val="0"/>
              <w:autoSpaceDN w:val="0"/>
              <w:adjustRightInd w:val="0"/>
              <w:spacing w:after="0"/>
              <w:rPr>
                <w:rFonts w:cs="Lucida Sans Unicode"/>
                <w:b/>
                <w:i/>
              </w:rPr>
            </w:pPr>
            <w:r w:rsidRPr="00D372AA">
              <w:rPr>
                <w:rFonts w:eastAsia="AvenirLTStd-Light" w:cs="AvenirLTStd-Light"/>
                <w:i/>
              </w:rPr>
              <w:t xml:space="preserve">Het percentage aios dat </w:t>
            </w:r>
            <w:r w:rsidR="00381217" w:rsidRPr="00D64BFA">
              <w:rPr>
                <w:rFonts w:eastAsia="AvenirLTStd-Light" w:cs="AvenirLTStd-Light"/>
                <w:b/>
                <w:i/>
              </w:rPr>
              <w:t>tijdens</w:t>
            </w:r>
            <w:r w:rsidR="00381217">
              <w:rPr>
                <w:rFonts w:eastAsia="AvenirLTStd-Light" w:cs="AvenirLTStd-Light"/>
                <w:i/>
              </w:rPr>
              <w:t xml:space="preserve"> </w:t>
            </w:r>
            <w:r w:rsidRPr="00D372AA">
              <w:rPr>
                <w:rFonts w:eastAsia="AvenirLTStd-Light" w:cs="AvenirLTStd-Light"/>
                <w:i/>
              </w:rPr>
              <w:t xml:space="preserve">opleiding tot specialist ouderengeneeskunde </w:t>
            </w:r>
            <w:r w:rsidR="00381217">
              <w:rPr>
                <w:rFonts w:eastAsia="AvenirLTStd-Light" w:cs="AvenirLTStd-Light"/>
                <w:i/>
              </w:rPr>
              <w:t xml:space="preserve">dit </w:t>
            </w:r>
            <w:r w:rsidRPr="00D372AA">
              <w:rPr>
                <w:rFonts w:eastAsia="AvenirLTStd-Light" w:cs="AvenirLTStd-Light"/>
                <w:i/>
              </w:rPr>
              <w:t>combineert met promotie onderzoek</w:t>
            </w:r>
            <w:r w:rsidR="00381217">
              <w:rPr>
                <w:rFonts w:eastAsia="AvenirLTStd-Light" w:cs="AvenirLTStd-Light"/>
                <w:i/>
              </w:rPr>
              <w:t xml:space="preserve"> binnen de ouderengeneeskunde</w:t>
            </w:r>
            <w:r w:rsidRPr="00D372AA">
              <w:rPr>
                <w:rFonts w:eastAsia="AvenirLTStd-Light" w:cs="AvenirLTStd-Light"/>
                <w:i/>
              </w:rPr>
              <w:t>.</w:t>
            </w:r>
          </w:p>
        </w:tc>
        <w:tc>
          <w:tcPr>
            <w:tcW w:w="934" w:type="dxa"/>
            <w:tcBorders>
              <w:bottom w:val="single" w:sz="4" w:space="0" w:color="auto"/>
            </w:tcBorders>
          </w:tcPr>
          <w:p w14:paraId="75DE3287" w14:textId="77777777" w:rsidR="00D372AA" w:rsidRPr="00D372AA" w:rsidRDefault="00D372AA" w:rsidP="00D64BFA">
            <w:pPr>
              <w:autoSpaceDE w:val="0"/>
              <w:autoSpaceDN w:val="0"/>
              <w:adjustRightInd w:val="0"/>
              <w:spacing w:after="0"/>
              <w:jc w:val="right"/>
              <w:rPr>
                <w:rFonts w:cs="Lucida Sans Unicode"/>
                <w:b/>
                <w:i/>
              </w:rPr>
            </w:pPr>
          </w:p>
        </w:tc>
      </w:tr>
      <w:tr w:rsidR="00D709F7" w:rsidRPr="0043646A" w14:paraId="05992DBE" w14:textId="77777777" w:rsidTr="00A83700">
        <w:tc>
          <w:tcPr>
            <w:tcW w:w="8188" w:type="dxa"/>
            <w:gridSpan w:val="7"/>
            <w:shd w:val="pct10" w:color="auto" w:fill="auto"/>
          </w:tcPr>
          <w:p w14:paraId="61E133D9" w14:textId="77777777" w:rsidR="00D709F7" w:rsidRPr="00D709F7" w:rsidRDefault="00D709F7" w:rsidP="00D709F7">
            <w:pPr>
              <w:autoSpaceDE w:val="0"/>
              <w:autoSpaceDN w:val="0"/>
              <w:adjustRightInd w:val="0"/>
              <w:spacing w:after="0"/>
              <w:rPr>
                <w:rFonts w:ascii="Calibri" w:eastAsia="AvenirLTStd-Light" w:hAnsi="Calibri"/>
              </w:rPr>
            </w:pPr>
            <w:r w:rsidRPr="00D709F7">
              <w:rPr>
                <w:rFonts w:ascii="Calibri" w:eastAsia="AvenirLTStd-Light" w:hAnsi="Calibri"/>
              </w:rPr>
              <w:t>Van de totale opleiding in kaart brengen:</w:t>
            </w:r>
          </w:p>
          <w:p w14:paraId="178EF87B" w14:textId="5DDCF473" w:rsidR="00D709F7" w:rsidRPr="00D709F7" w:rsidRDefault="00D709F7" w:rsidP="00D709F7">
            <w:pPr>
              <w:autoSpaceDE w:val="0"/>
              <w:autoSpaceDN w:val="0"/>
              <w:adjustRightInd w:val="0"/>
              <w:spacing w:after="0"/>
              <w:rPr>
                <w:rFonts w:ascii="Calibri" w:eastAsia="AvenirLTStd-Light" w:hAnsi="Calibri"/>
              </w:rPr>
            </w:pPr>
            <w:r w:rsidRPr="00D709F7">
              <w:rPr>
                <w:rFonts w:ascii="Calibri" w:eastAsia="AvenirLTStd-Light" w:hAnsi="Calibri"/>
              </w:rPr>
              <w:t xml:space="preserve">- Teller: aantal aioto’s op peildatum; Noemer: aantal </w:t>
            </w:r>
            <w:r w:rsidR="00A024A6">
              <w:rPr>
                <w:rFonts w:ascii="Calibri" w:eastAsia="AvenirLTStd-Light" w:hAnsi="Calibri"/>
              </w:rPr>
              <w:t xml:space="preserve">niet-gepromoveerde </w:t>
            </w:r>
            <w:r w:rsidRPr="00D709F7">
              <w:rPr>
                <w:rFonts w:ascii="Calibri" w:eastAsia="AvenirLTStd-Light" w:hAnsi="Calibri"/>
              </w:rPr>
              <w:t>aios op peildatum</w:t>
            </w:r>
          </w:p>
          <w:p w14:paraId="2AF4AF7B" w14:textId="45ECC9CC" w:rsidR="00D709F7" w:rsidRPr="00D709F7" w:rsidRDefault="00B437BC" w:rsidP="00D709F7">
            <w:pPr>
              <w:autoSpaceDE w:val="0"/>
              <w:autoSpaceDN w:val="0"/>
              <w:adjustRightInd w:val="0"/>
              <w:spacing w:after="0"/>
              <w:rPr>
                <w:rFonts w:ascii="Calibri" w:eastAsia="AvenirLTStd-Light" w:hAnsi="Calibri"/>
              </w:rPr>
            </w:pPr>
            <w:r>
              <w:rPr>
                <w:rFonts w:ascii="Calibri" w:eastAsia="AvenirLTStd-Light" w:hAnsi="Calibri"/>
              </w:rPr>
              <w:t>S</w:t>
            </w:r>
            <w:r w:rsidR="00D709F7" w:rsidRPr="00D709F7">
              <w:rPr>
                <w:rFonts w:ascii="Calibri" w:eastAsia="AvenirLTStd-Light" w:hAnsi="Calibri"/>
              </w:rPr>
              <w:t>core = (teller/noemer) * 100%</w:t>
            </w:r>
          </w:p>
        </w:tc>
        <w:tc>
          <w:tcPr>
            <w:tcW w:w="934" w:type="dxa"/>
            <w:shd w:val="pct10" w:color="auto" w:fill="auto"/>
          </w:tcPr>
          <w:p w14:paraId="07FCBADC" w14:textId="3D37F156" w:rsidR="00D709F7" w:rsidRPr="00914F2A" w:rsidRDefault="00872E26"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D709F7" w:rsidRPr="0043646A" w14:paraId="23179CD0" w14:textId="77777777" w:rsidTr="00A83700">
        <w:trPr>
          <w:trHeight w:val="938"/>
        </w:trPr>
        <w:tc>
          <w:tcPr>
            <w:tcW w:w="9122" w:type="dxa"/>
            <w:gridSpan w:val="8"/>
            <w:tcBorders>
              <w:bottom w:val="single" w:sz="4" w:space="0" w:color="auto"/>
            </w:tcBorders>
          </w:tcPr>
          <w:p w14:paraId="607C7EC1" w14:textId="77777777" w:rsidR="00D709F7" w:rsidRPr="00914F2A" w:rsidRDefault="00D709F7" w:rsidP="0054049D">
            <w:pPr>
              <w:autoSpaceDE w:val="0"/>
              <w:autoSpaceDN w:val="0"/>
              <w:adjustRightInd w:val="0"/>
              <w:spacing w:after="0"/>
              <w:rPr>
                <w:rFonts w:ascii="Calibri" w:eastAsia="AvenirLTStd-Light" w:hAnsi="Calibri" w:cs="AvenirLTStd-Light"/>
              </w:rPr>
            </w:pPr>
          </w:p>
        </w:tc>
      </w:tr>
      <w:tr w:rsidR="00D709F7" w:rsidRPr="0043646A" w14:paraId="69B00B47" w14:textId="77777777" w:rsidTr="00A83700">
        <w:tc>
          <w:tcPr>
            <w:tcW w:w="1526" w:type="dxa"/>
            <w:shd w:val="pct10" w:color="auto" w:fill="auto"/>
          </w:tcPr>
          <w:p w14:paraId="5BE7A436"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093A4D9"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B2814FE"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BBA06EC"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AA883D8"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DD6D5E8"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05D8CFFF"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D709F7" w:rsidRPr="0043646A" w14:paraId="4750E4E8" w14:textId="77777777" w:rsidTr="0054049D">
        <w:tc>
          <w:tcPr>
            <w:tcW w:w="9122" w:type="dxa"/>
            <w:gridSpan w:val="8"/>
          </w:tcPr>
          <w:p w14:paraId="21AD91FD" w14:textId="77777777" w:rsidR="00D709F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AC65FAB" w14:textId="77777777" w:rsidR="00D709F7" w:rsidRPr="005A198C" w:rsidRDefault="00D709F7" w:rsidP="0054049D">
            <w:pPr>
              <w:autoSpaceDE w:val="0"/>
              <w:autoSpaceDN w:val="0"/>
              <w:adjustRightInd w:val="0"/>
              <w:spacing w:after="0"/>
              <w:rPr>
                <w:rFonts w:ascii="Calibri" w:eastAsia="AvenirLTStd-Light" w:hAnsi="Calibri" w:cs="AvenirLTStd-Light"/>
              </w:rPr>
            </w:pPr>
          </w:p>
        </w:tc>
      </w:tr>
    </w:tbl>
    <w:p w14:paraId="75F597BC" w14:textId="77777777" w:rsidR="00A83700" w:rsidRDefault="00A83700" w:rsidP="00D709F7">
      <w:pPr>
        <w:rPr>
          <w:rFonts w:ascii="Calibri" w:eastAsia="AvenirLTStd-Light" w:hAnsi="Calibri" w:cs="AvenirLTStd-Light"/>
          <w:b/>
          <w:noProof/>
          <w:sz w:val="24"/>
          <w:szCs w:val="24"/>
        </w:rPr>
      </w:pPr>
    </w:p>
    <w:p w14:paraId="28D79193" w14:textId="77777777" w:rsidR="009F0F51" w:rsidRDefault="009F0F51">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p w14:paraId="056A848E" w14:textId="6D59CB42" w:rsidR="00D709F7" w:rsidRPr="005767B9" w:rsidRDefault="00D709F7" w:rsidP="00D709F7">
      <w:r>
        <w:rPr>
          <w:rFonts w:ascii="Calibri" w:eastAsia="AvenirLTStd-Light" w:hAnsi="Calibri" w:cs="AvenirLTStd-Light"/>
          <w:b/>
          <w:noProof/>
          <w:sz w:val="24"/>
          <w:szCs w:val="24"/>
        </w:rPr>
        <w:lastRenderedPageBreak/>
        <w:t>2c. Opleiders en stafleden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D709F7" w:rsidRPr="00B5204D" w14:paraId="6473CB51" w14:textId="77777777" w:rsidTr="0054049D">
        <w:tc>
          <w:tcPr>
            <w:tcW w:w="9122" w:type="dxa"/>
            <w:gridSpan w:val="8"/>
            <w:shd w:val="clear" w:color="auto" w:fill="auto"/>
          </w:tcPr>
          <w:p w14:paraId="626C011E" w14:textId="3AFBEF15" w:rsidR="00D709F7" w:rsidRPr="00B5204D" w:rsidRDefault="00D709F7" w:rsidP="00D64BFA">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Pr>
                <w:rFonts w:ascii="Calibri" w:eastAsia="AvenirLTStd-Light" w:hAnsi="Calibri" w:cs="AvenirLTStd-Light"/>
                <w:b/>
              </w:rPr>
              <w:t>2c</w:t>
            </w:r>
            <w:r w:rsidRPr="00B5204D">
              <w:rPr>
                <w:rFonts w:ascii="Calibri" w:eastAsia="AvenirLTStd-Light" w:hAnsi="Calibri" w:cs="AvenirLTStd-Light"/>
                <w:b/>
              </w:rPr>
              <w:t xml:space="preserve">.1 </w:t>
            </w:r>
            <w:r>
              <w:rPr>
                <w:rFonts w:ascii="Calibri" w:hAnsi="Calibri" w:cs="AvenirLTStd-Heavy"/>
                <w:b/>
              </w:rPr>
              <w:t xml:space="preserve">Scholing in EBM voor </w:t>
            </w:r>
            <w:r w:rsidR="00D64BFA">
              <w:rPr>
                <w:rFonts w:ascii="Calibri" w:hAnsi="Calibri" w:cs="AvenirLTStd-Heavy"/>
                <w:b/>
              </w:rPr>
              <w:t xml:space="preserve">docenten  </w:t>
            </w:r>
            <w:r>
              <w:rPr>
                <w:rFonts w:ascii="Calibri" w:hAnsi="Calibri" w:cs="AvenirLTStd-Heavy"/>
                <w:b/>
              </w:rPr>
              <w:t xml:space="preserve">en </w:t>
            </w:r>
            <w:r w:rsidR="00D64BFA">
              <w:rPr>
                <w:rFonts w:ascii="Calibri" w:hAnsi="Calibri" w:cs="AvenirLTStd-Heavy"/>
                <w:b/>
              </w:rPr>
              <w:t xml:space="preserve">wetenschappelijke </w:t>
            </w:r>
            <w:r>
              <w:rPr>
                <w:rFonts w:ascii="Calibri" w:hAnsi="Calibri" w:cs="AvenirLTStd-Heavy"/>
                <w:b/>
              </w:rPr>
              <w:t>stafleden</w:t>
            </w:r>
          </w:p>
        </w:tc>
      </w:tr>
      <w:tr w:rsidR="00D372AA" w:rsidRPr="00D372AA" w14:paraId="71718EF7" w14:textId="77777777" w:rsidTr="00D64BFA">
        <w:tc>
          <w:tcPr>
            <w:tcW w:w="8188" w:type="dxa"/>
            <w:gridSpan w:val="7"/>
            <w:tcBorders>
              <w:bottom w:val="single" w:sz="4" w:space="0" w:color="auto"/>
            </w:tcBorders>
          </w:tcPr>
          <w:p w14:paraId="6CDC640D" w14:textId="3688B841" w:rsidR="00D372AA" w:rsidRPr="00D372AA" w:rsidRDefault="005770DF" w:rsidP="00D64BFA">
            <w:pPr>
              <w:autoSpaceDE w:val="0"/>
              <w:autoSpaceDN w:val="0"/>
              <w:adjustRightInd w:val="0"/>
              <w:spacing w:after="0"/>
              <w:rPr>
                <w:rFonts w:cs="Lucida Sans Unicode"/>
                <w:b/>
                <w:i/>
              </w:rPr>
            </w:pPr>
            <w:r>
              <w:rPr>
                <w:rFonts w:eastAsia="AvenirLTStd-Light"/>
                <w:i/>
              </w:rPr>
              <w:t>Docenten</w:t>
            </w:r>
            <w:r w:rsidRPr="00D372AA">
              <w:rPr>
                <w:rFonts w:eastAsia="AvenirLTStd-Light"/>
                <w:i/>
              </w:rPr>
              <w:t xml:space="preserve"> </w:t>
            </w:r>
            <w:r w:rsidR="00D372AA" w:rsidRPr="00D372AA">
              <w:rPr>
                <w:rFonts w:eastAsia="AvenirLTStd-Light"/>
                <w:i/>
              </w:rPr>
              <w:t>en stafleden zijn geschoold in EBM en kennen de stappen van het evidence-based handelen (van klinische vraag tot toepassing in de praktijk, evidence-based practice).</w:t>
            </w:r>
          </w:p>
        </w:tc>
        <w:tc>
          <w:tcPr>
            <w:tcW w:w="934" w:type="dxa"/>
            <w:tcBorders>
              <w:bottom w:val="single" w:sz="4" w:space="0" w:color="auto"/>
            </w:tcBorders>
          </w:tcPr>
          <w:p w14:paraId="5DF7407B" w14:textId="77777777" w:rsidR="00D372AA" w:rsidRPr="00D372AA" w:rsidRDefault="00D372AA" w:rsidP="00D64BFA">
            <w:pPr>
              <w:autoSpaceDE w:val="0"/>
              <w:autoSpaceDN w:val="0"/>
              <w:adjustRightInd w:val="0"/>
              <w:spacing w:after="0"/>
              <w:jc w:val="right"/>
              <w:rPr>
                <w:rFonts w:cs="Lucida Sans Unicode"/>
                <w:b/>
                <w:i/>
              </w:rPr>
            </w:pPr>
          </w:p>
        </w:tc>
      </w:tr>
      <w:tr w:rsidR="00D709F7" w:rsidRPr="0043646A" w14:paraId="12EBE1FF" w14:textId="77777777" w:rsidTr="00A83700">
        <w:tc>
          <w:tcPr>
            <w:tcW w:w="8188" w:type="dxa"/>
            <w:gridSpan w:val="7"/>
            <w:shd w:val="pct10" w:color="auto" w:fill="auto"/>
          </w:tcPr>
          <w:p w14:paraId="7D528455" w14:textId="280671B3" w:rsidR="00D709F7" w:rsidRPr="00D709F7" w:rsidRDefault="00D709F7" w:rsidP="00B437BC">
            <w:pPr>
              <w:pStyle w:val="Lijstalinea"/>
              <w:numPr>
                <w:ilvl w:val="0"/>
                <w:numId w:val="3"/>
              </w:numPr>
              <w:autoSpaceDE w:val="0"/>
              <w:autoSpaceDN w:val="0"/>
              <w:adjustRightInd w:val="0"/>
              <w:rPr>
                <w:rFonts w:ascii="Calibri" w:eastAsia="AvenirLTStd-Light" w:hAnsi="Calibri"/>
              </w:rPr>
            </w:pPr>
            <w:r>
              <w:rPr>
                <w:rFonts w:ascii="Calibri" w:eastAsia="AvenirLTStd-Light" w:hAnsi="Calibri"/>
              </w:rPr>
              <w:t>H</w:t>
            </w:r>
            <w:r w:rsidRPr="00D709F7">
              <w:rPr>
                <w:rFonts w:ascii="Calibri" w:eastAsia="AvenirLTStd-Light" w:hAnsi="Calibri"/>
              </w:rPr>
              <w:t>et opstellen van e</w:t>
            </w:r>
            <w:r>
              <w:rPr>
                <w:rFonts w:ascii="Calibri" w:eastAsia="AvenirLTStd-Light" w:hAnsi="Calibri"/>
              </w:rPr>
              <w:t xml:space="preserve">en PICO wordt geoefend. </w:t>
            </w:r>
          </w:p>
        </w:tc>
        <w:tc>
          <w:tcPr>
            <w:tcW w:w="934" w:type="dxa"/>
            <w:shd w:val="pct10" w:color="auto" w:fill="auto"/>
          </w:tcPr>
          <w:p w14:paraId="61ABB281" w14:textId="263250E7" w:rsidR="00D709F7" w:rsidRPr="00914F2A" w:rsidRDefault="00872E26"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D709F7" w:rsidRPr="0043646A" w14:paraId="6C65E0A4" w14:textId="77777777" w:rsidTr="0054049D">
        <w:trPr>
          <w:trHeight w:val="938"/>
        </w:trPr>
        <w:tc>
          <w:tcPr>
            <w:tcW w:w="9122" w:type="dxa"/>
            <w:gridSpan w:val="8"/>
          </w:tcPr>
          <w:p w14:paraId="7E49B306" w14:textId="77777777" w:rsidR="00D709F7" w:rsidRPr="00914F2A" w:rsidRDefault="00D709F7" w:rsidP="0054049D">
            <w:pPr>
              <w:autoSpaceDE w:val="0"/>
              <w:autoSpaceDN w:val="0"/>
              <w:adjustRightInd w:val="0"/>
              <w:spacing w:after="0"/>
              <w:rPr>
                <w:rFonts w:ascii="Calibri" w:eastAsia="AvenirLTStd-Light" w:hAnsi="Calibri" w:cs="AvenirLTStd-Light"/>
              </w:rPr>
            </w:pPr>
          </w:p>
        </w:tc>
      </w:tr>
      <w:tr w:rsidR="00D709F7" w:rsidRPr="0043646A" w14:paraId="17F59282" w14:textId="77777777" w:rsidTr="0054049D">
        <w:tc>
          <w:tcPr>
            <w:tcW w:w="1526" w:type="dxa"/>
          </w:tcPr>
          <w:p w14:paraId="1B67F056"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Pr>
          <w:p w14:paraId="7D7BD759"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Pr>
          <w:p w14:paraId="130175CF"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Pr>
          <w:p w14:paraId="3A113F12"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Pr>
          <w:p w14:paraId="42AD6A35"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Pr>
          <w:p w14:paraId="11D056D6"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tcPr>
          <w:p w14:paraId="00A01295"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D709F7" w:rsidRPr="0043646A" w14:paraId="17C82A40" w14:textId="77777777" w:rsidTr="00A83700">
        <w:tc>
          <w:tcPr>
            <w:tcW w:w="9122" w:type="dxa"/>
            <w:gridSpan w:val="8"/>
            <w:tcBorders>
              <w:bottom w:val="single" w:sz="4" w:space="0" w:color="auto"/>
            </w:tcBorders>
          </w:tcPr>
          <w:p w14:paraId="4302376E" w14:textId="77777777" w:rsidR="00D709F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471550C3" w14:textId="77777777" w:rsidR="00D709F7" w:rsidRPr="005A198C" w:rsidRDefault="00D709F7" w:rsidP="0054049D">
            <w:pPr>
              <w:autoSpaceDE w:val="0"/>
              <w:autoSpaceDN w:val="0"/>
              <w:adjustRightInd w:val="0"/>
              <w:spacing w:after="0"/>
              <w:rPr>
                <w:rFonts w:ascii="Calibri" w:eastAsia="AvenirLTStd-Light" w:hAnsi="Calibri" w:cs="AvenirLTStd-Light"/>
              </w:rPr>
            </w:pPr>
          </w:p>
        </w:tc>
      </w:tr>
      <w:tr w:rsidR="00D709F7" w:rsidRPr="0043646A" w14:paraId="32B37DA1" w14:textId="77777777" w:rsidTr="00A83700">
        <w:tc>
          <w:tcPr>
            <w:tcW w:w="8188" w:type="dxa"/>
            <w:gridSpan w:val="7"/>
            <w:shd w:val="pct10" w:color="auto" w:fill="auto"/>
          </w:tcPr>
          <w:p w14:paraId="750991D1" w14:textId="1A44AAA9" w:rsidR="00D709F7" w:rsidRPr="00554400" w:rsidRDefault="00D709F7" w:rsidP="00B437BC">
            <w:pPr>
              <w:pStyle w:val="Lijstalinea"/>
              <w:numPr>
                <w:ilvl w:val="0"/>
                <w:numId w:val="3"/>
              </w:numPr>
              <w:autoSpaceDE w:val="0"/>
              <w:autoSpaceDN w:val="0"/>
              <w:adjustRightInd w:val="0"/>
              <w:spacing w:after="0"/>
              <w:rPr>
                <w:rFonts w:ascii="Calibri" w:eastAsia="AvenirLTStd-Light" w:hAnsi="Calibri" w:cs="AvenirLTStd-Light"/>
              </w:rPr>
            </w:pPr>
            <w:r>
              <w:rPr>
                <w:rFonts w:ascii="Calibri" w:eastAsia="AvenirLTStd-Light" w:hAnsi="Calibri" w:cs="AvenirLTStd-Light"/>
              </w:rPr>
              <w:t>Z</w:t>
            </w:r>
            <w:r w:rsidRPr="00D3750D">
              <w:rPr>
                <w:rFonts w:ascii="Calibri" w:eastAsia="AvenirLTStd-Light" w:hAnsi="Calibri" w:cs="AvenirLTStd-Light"/>
              </w:rPr>
              <w:t>oeken in evidence-based bronnen wordt geoefend</w:t>
            </w:r>
            <w:r>
              <w:rPr>
                <w:rFonts w:ascii="Calibri" w:eastAsia="AvenirLTStd-Light" w:hAnsi="Calibri" w:cs="AvenirLTStd-Light"/>
              </w:rPr>
              <w:t xml:space="preserve">. </w:t>
            </w:r>
          </w:p>
        </w:tc>
        <w:tc>
          <w:tcPr>
            <w:tcW w:w="934" w:type="dxa"/>
            <w:shd w:val="pct10" w:color="auto" w:fill="auto"/>
          </w:tcPr>
          <w:p w14:paraId="0B2C0474" w14:textId="73566D87" w:rsidR="00D709F7" w:rsidRPr="00914F2A" w:rsidRDefault="00872E26" w:rsidP="0054049D">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D709F7" w:rsidRPr="0043646A" w14:paraId="0845116D" w14:textId="77777777" w:rsidTr="0054049D">
        <w:trPr>
          <w:trHeight w:val="551"/>
        </w:trPr>
        <w:tc>
          <w:tcPr>
            <w:tcW w:w="9122" w:type="dxa"/>
            <w:gridSpan w:val="8"/>
          </w:tcPr>
          <w:p w14:paraId="2AE758C4" w14:textId="77777777" w:rsidR="00D709F7" w:rsidRPr="00914F2A" w:rsidRDefault="00D709F7" w:rsidP="0054049D">
            <w:pPr>
              <w:autoSpaceDE w:val="0"/>
              <w:autoSpaceDN w:val="0"/>
              <w:adjustRightInd w:val="0"/>
              <w:spacing w:after="0"/>
              <w:rPr>
                <w:rFonts w:ascii="Calibri" w:eastAsia="AvenirLTStd-Light" w:hAnsi="Calibri" w:cs="AvenirLTStd-Light"/>
              </w:rPr>
            </w:pPr>
          </w:p>
        </w:tc>
      </w:tr>
      <w:tr w:rsidR="00D709F7" w:rsidRPr="0043646A" w14:paraId="256E982E" w14:textId="77777777" w:rsidTr="0054049D">
        <w:tc>
          <w:tcPr>
            <w:tcW w:w="1526" w:type="dxa"/>
          </w:tcPr>
          <w:p w14:paraId="5CBA3B3E"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Pr>
          <w:p w14:paraId="6F7F9FA6"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Pr>
          <w:p w14:paraId="0E1C9340"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Pr>
          <w:p w14:paraId="7949C01C"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Pr>
          <w:p w14:paraId="1D5BE56A"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Pr>
          <w:p w14:paraId="697CD511"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Pr>
          <w:p w14:paraId="7506EAE7"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D709F7" w:rsidRPr="0043646A" w14:paraId="4EE32FAC" w14:textId="77777777" w:rsidTr="00A83700">
        <w:tc>
          <w:tcPr>
            <w:tcW w:w="9122" w:type="dxa"/>
            <w:gridSpan w:val="8"/>
            <w:tcBorders>
              <w:bottom w:val="single" w:sz="4" w:space="0" w:color="auto"/>
            </w:tcBorders>
          </w:tcPr>
          <w:p w14:paraId="1ED0E4B8" w14:textId="77777777" w:rsidR="00D709F7" w:rsidRPr="005B2234"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D709F7" w:rsidRPr="0043646A" w14:paraId="02B81925" w14:textId="77777777" w:rsidTr="00A83700">
        <w:tc>
          <w:tcPr>
            <w:tcW w:w="8188" w:type="dxa"/>
            <w:gridSpan w:val="7"/>
            <w:shd w:val="pct10" w:color="auto" w:fill="auto"/>
          </w:tcPr>
          <w:p w14:paraId="7CA8C89A" w14:textId="0730B3C7" w:rsidR="00D709F7" w:rsidRPr="00554400" w:rsidRDefault="00D709F7" w:rsidP="00B437BC">
            <w:pPr>
              <w:pStyle w:val="Lijstalinea"/>
              <w:numPr>
                <w:ilvl w:val="0"/>
                <w:numId w:val="3"/>
              </w:numPr>
              <w:autoSpaceDE w:val="0"/>
              <w:autoSpaceDN w:val="0"/>
              <w:adjustRightInd w:val="0"/>
              <w:rPr>
                <w:rFonts w:ascii="Calibri" w:eastAsia="AvenirLTStd-Light" w:hAnsi="Calibri"/>
              </w:rPr>
            </w:pPr>
            <w:r>
              <w:rPr>
                <w:rFonts w:ascii="Calibri" w:eastAsia="AvenirLTStd-Light" w:hAnsi="Calibri"/>
              </w:rPr>
              <w:t>C</w:t>
            </w:r>
            <w:r w:rsidRPr="00D709F7">
              <w:rPr>
                <w:rFonts w:ascii="Calibri" w:eastAsia="AvenirLTStd-Light" w:hAnsi="Calibri"/>
              </w:rPr>
              <w:t>ritical appraisal wordt geoefend</w:t>
            </w:r>
            <w:r w:rsidR="00B437BC">
              <w:rPr>
                <w:rFonts w:ascii="Calibri" w:eastAsia="AvenirLTStd-Light" w:hAnsi="Calibri"/>
              </w:rPr>
              <w:t>.</w:t>
            </w:r>
          </w:p>
        </w:tc>
        <w:tc>
          <w:tcPr>
            <w:tcW w:w="934" w:type="dxa"/>
            <w:shd w:val="pct10" w:color="auto" w:fill="auto"/>
          </w:tcPr>
          <w:p w14:paraId="7224A418" w14:textId="55B4DC69" w:rsidR="00D709F7" w:rsidRPr="00914F2A" w:rsidRDefault="00872E26" w:rsidP="0054049D">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D709F7" w:rsidRPr="0043646A" w14:paraId="5913BAE8" w14:textId="77777777" w:rsidTr="0054049D">
        <w:trPr>
          <w:trHeight w:val="263"/>
        </w:trPr>
        <w:tc>
          <w:tcPr>
            <w:tcW w:w="9122" w:type="dxa"/>
            <w:gridSpan w:val="8"/>
          </w:tcPr>
          <w:p w14:paraId="6BA94D9F" w14:textId="77777777" w:rsidR="00D709F7" w:rsidRPr="00914F2A" w:rsidRDefault="00D709F7" w:rsidP="0054049D">
            <w:pPr>
              <w:autoSpaceDE w:val="0"/>
              <w:autoSpaceDN w:val="0"/>
              <w:adjustRightInd w:val="0"/>
              <w:spacing w:after="0"/>
              <w:rPr>
                <w:rFonts w:ascii="Calibri" w:eastAsia="AvenirLTStd-Light" w:hAnsi="Calibri" w:cs="AvenirLTStd-Light"/>
              </w:rPr>
            </w:pPr>
          </w:p>
        </w:tc>
      </w:tr>
      <w:tr w:rsidR="00D709F7" w:rsidRPr="0043646A" w14:paraId="32B5CACF" w14:textId="77777777" w:rsidTr="0054049D">
        <w:tc>
          <w:tcPr>
            <w:tcW w:w="1526" w:type="dxa"/>
          </w:tcPr>
          <w:p w14:paraId="64F647A5"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Pr>
          <w:p w14:paraId="57277E53"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Pr>
          <w:p w14:paraId="212619E2"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Pr>
          <w:p w14:paraId="4DBBC3E0"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Pr>
          <w:p w14:paraId="37563ADF"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Pr>
          <w:p w14:paraId="021D5655"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Pr>
          <w:p w14:paraId="3A859BC6"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D709F7" w:rsidRPr="0043646A" w14:paraId="35868164" w14:textId="77777777" w:rsidTr="00A83700">
        <w:tc>
          <w:tcPr>
            <w:tcW w:w="9122" w:type="dxa"/>
            <w:gridSpan w:val="8"/>
            <w:tcBorders>
              <w:bottom w:val="single" w:sz="4" w:space="0" w:color="auto"/>
            </w:tcBorders>
          </w:tcPr>
          <w:p w14:paraId="03322372" w14:textId="77777777" w:rsidR="00D709F7" w:rsidRPr="0011496A"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D709F7" w:rsidRPr="0043646A" w14:paraId="540C9768" w14:textId="77777777" w:rsidTr="00A83700">
        <w:tc>
          <w:tcPr>
            <w:tcW w:w="8188" w:type="dxa"/>
            <w:gridSpan w:val="7"/>
            <w:shd w:val="pct10" w:color="auto" w:fill="auto"/>
          </w:tcPr>
          <w:p w14:paraId="041E9CEB" w14:textId="726F2FA5" w:rsidR="00D709F7" w:rsidRPr="00554400" w:rsidRDefault="00D709F7" w:rsidP="00B437BC">
            <w:pPr>
              <w:pStyle w:val="Lijstalinea"/>
              <w:numPr>
                <w:ilvl w:val="0"/>
                <w:numId w:val="3"/>
              </w:numPr>
              <w:autoSpaceDE w:val="0"/>
              <w:autoSpaceDN w:val="0"/>
              <w:adjustRightInd w:val="0"/>
              <w:spacing w:after="0"/>
              <w:rPr>
                <w:rFonts w:ascii="Calibri" w:eastAsia="AvenirLTStd-Light" w:hAnsi="Calibri" w:cs="AvenirLTStd-Light"/>
              </w:rPr>
            </w:pPr>
            <w:r>
              <w:rPr>
                <w:rFonts w:ascii="Calibri" w:eastAsia="AvenirLTStd-Light" w:hAnsi="Calibri" w:cs="AvenirLTStd-Light"/>
              </w:rPr>
              <w:t>Hoe EBM over te dragen aan de aios is onderdeel van de scholing, dit komt expliciet aan de orde tijdens alle onderdelen</w:t>
            </w:r>
            <w:r w:rsidR="00B437BC">
              <w:rPr>
                <w:rFonts w:ascii="Calibri" w:eastAsia="AvenirLTStd-Light" w:hAnsi="Calibri" w:cs="AvenirLTStd-Light"/>
              </w:rPr>
              <w:t>.</w:t>
            </w:r>
          </w:p>
        </w:tc>
        <w:tc>
          <w:tcPr>
            <w:tcW w:w="934" w:type="dxa"/>
            <w:shd w:val="pct10" w:color="auto" w:fill="auto"/>
          </w:tcPr>
          <w:p w14:paraId="2576A7B5" w14:textId="16789877" w:rsidR="00D709F7" w:rsidRPr="00914F2A" w:rsidRDefault="00872E26" w:rsidP="0054049D">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D709F7" w:rsidRPr="0043646A" w14:paraId="1E453377" w14:textId="77777777" w:rsidTr="0054049D">
        <w:trPr>
          <w:trHeight w:val="569"/>
        </w:trPr>
        <w:tc>
          <w:tcPr>
            <w:tcW w:w="9122" w:type="dxa"/>
            <w:gridSpan w:val="8"/>
          </w:tcPr>
          <w:p w14:paraId="021943A8" w14:textId="77777777" w:rsidR="00D709F7" w:rsidRPr="00914F2A" w:rsidRDefault="00D709F7" w:rsidP="0054049D">
            <w:pPr>
              <w:autoSpaceDE w:val="0"/>
              <w:autoSpaceDN w:val="0"/>
              <w:adjustRightInd w:val="0"/>
              <w:spacing w:after="0"/>
              <w:rPr>
                <w:rFonts w:ascii="Calibri" w:eastAsia="AvenirLTStd-Light" w:hAnsi="Calibri" w:cs="AvenirLTStd-Light"/>
              </w:rPr>
            </w:pPr>
          </w:p>
        </w:tc>
      </w:tr>
      <w:tr w:rsidR="00D709F7" w:rsidRPr="0043646A" w14:paraId="5EE45384" w14:textId="77777777" w:rsidTr="0054049D">
        <w:tc>
          <w:tcPr>
            <w:tcW w:w="1526" w:type="dxa"/>
          </w:tcPr>
          <w:p w14:paraId="5FD40EE2"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Pr>
          <w:p w14:paraId="654BDCD9"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Pr>
          <w:p w14:paraId="2A646E7D"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Pr>
          <w:p w14:paraId="69EF7C56"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Pr>
          <w:p w14:paraId="2381E1A9"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Pr>
          <w:p w14:paraId="48BAD1E2"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Pr>
          <w:p w14:paraId="42129B80"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D709F7" w:rsidRPr="0043646A" w14:paraId="7D5FEE1B" w14:textId="77777777" w:rsidTr="00A83700">
        <w:tc>
          <w:tcPr>
            <w:tcW w:w="9122" w:type="dxa"/>
            <w:gridSpan w:val="8"/>
            <w:tcBorders>
              <w:bottom w:val="single" w:sz="4" w:space="0" w:color="auto"/>
            </w:tcBorders>
          </w:tcPr>
          <w:p w14:paraId="7864DCDF" w14:textId="77777777" w:rsidR="00D709F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p>
          <w:p w14:paraId="507A42C2" w14:textId="77777777" w:rsidR="00D709F7" w:rsidRPr="008E3979" w:rsidRDefault="00D709F7" w:rsidP="0054049D">
            <w:pPr>
              <w:pStyle w:val="Lijstalinea"/>
              <w:autoSpaceDE w:val="0"/>
              <w:autoSpaceDN w:val="0"/>
              <w:adjustRightInd w:val="0"/>
              <w:spacing w:after="0"/>
              <w:ind w:left="360"/>
              <w:rPr>
                <w:rFonts w:ascii="Calibri" w:eastAsia="AvenirLTStd-Light" w:hAnsi="Calibri" w:cs="AvenirLTStd-Light"/>
              </w:rPr>
            </w:pPr>
          </w:p>
        </w:tc>
      </w:tr>
      <w:tr w:rsidR="00D709F7" w:rsidRPr="00D64BFA" w14:paraId="687978AB" w14:textId="77777777" w:rsidTr="00A83700">
        <w:tc>
          <w:tcPr>
            <w:tcW w:w="8188" w:type="dxa"/>
            <w:gridSpan w:val="7"/>
            <w:shd w:val="pct10" w:color="auto" w:fill="auto"/>
          </w:tcPr>
          <w:p w14:paraId="0483FA5D" w14:textId="77777777" w:rsidR="00D64BFA" w:rsidRPr="00D64BFA" w:rsidRDefault="00D64BFA" w:rsidP="00D64BFA">
            <w:pPr>
              <w:autoSpaceDE w:val="0"/>
              <w:autoSpaceDN w:val="0"/>
              <w:adjustRightInd w:val="0"/>
              <w:rPr>
                <w:rFonts w:eastAsia="AvenirLTStd-Light" w:cstheme="minorHAnsi"/>
              </w:rPr>
            </w:pPr>
            <w:r w:rsidRPr="00D64BFA">
              <w:rPr>
                <w:rFonts w:eastAsia="AvenirLTStd-Light" w:cstheme="minorHAnsi"/>
              </w:rPr>
              <w:t>e. voeg per doelgroep een reflectie toe op het streven dat van docenten en wetenschappelijke staf vanaf 2023 100% van de stafleden a t/m d beheerst.</w:t>
            </w:r>
          </w:p>
          <w:p w14:paraId="2CC55803" w14:textId="27453002" w:rsidR="00D709F7" w:rsidRPr="00D64BFA" w:rsidRDefault="00D709F7" w:rsidP="00D709F7">
            <w:pPr>
              <w:pStyle w:val="Lijstalinea"/>
              <w:autoSpaceDE w:val="0"/>
              <w:autoSpaceDN w:val="0"/>
              <w:adjustRightInd w:val="0"/>
              <w:spacing w:after="0"/>
              <w:ind w:left="284"/>
              <w:rPr>
                <w:rFonts w:eastAsia="AvenirLTStd-Light" w:cstheme="minorHAnsi"/>
              </w:rPr>
            </w:pPr>
          </w:p>
        </w:tc>
        <w:tc>
          <w:tcPr>
            <w:tcW w:w="934" w:type="dxa"/>
            <w:shd w:val="pct10" w:color="auto" w:fill="auto"/>
          </w:tcPr>
          <w:p w14:paraId="29CE3FFC" w14:textId="2B7DCB6C" w:rsidR="00D709F7" w:rsidRPr="00D64BFA" w:rsidRDefault="00872E26" w:rsidP="0054049D">
            <w:pPr>
              <w:autoSpaceDE w:val="0"/>
              <w:autoSpaceDN w:val="0"/>
              <w:adjustRightInd w:val="0"/>
              <w:spacing w:after="0"/>
              <w:jc w:val="right"/>
              <w:rPr>
                <w:rFonts w:eastAsia="AvenirLTStd-Light" w:cstheme="minorHAnsi"/>
              </w:rPr>
            </w:pPr>
            <w:r w:rsidRPr="00D64BFA">
              <w:rPr>
                <w:rFonts w:eastAsia="AvenirLTStd-Light" w:cstheme="minorHAnsi"/>
              </w:rPr>
              <w:t>*</w:t>
            </w:r>
          </w:p>
        </w:tc>
      </w:tr>
      <w:tr w:rsidR="00D709F7" w:rsidRPr="00914F2A" w14:paraId="6B8BD6DD" w14:textId="77777777" w:rsidTr="0054049D">
        <w:trPr>
          <w:trHeight w:val="569"/>
        </w:trPr>
        <w:tc>
          <w:tcPr>
            <w:tcW w:w="9122" w:type="dxa"/>
            <w:gridSpan w:val="8"/>
          </w:tcPr>
          <w:p w14:paraId="171714F6" w14:textId="77777777" w:rsidR="00D709F7" w:rsidRPr="00914F2A" w:rsidRDefault="00D709F7" w:rsidP="0054049D">
            <w:pPr>
              <w:autoSpaceDE w:val="0"/>
              <w:autoSpaceDN w:val="0"/>
              <w:adjustRightInd w:val="0"/>
              <w:spacing w:after="0"/>
              <w:rPr>
                <w:rFonts w:ascii="Calibri" w:eastAsia="AvenirLTStd-Light" w:hAnsi="Calibri" w:cs="AvenirLTStd-Light"/>
              </w:rPr>
            </w:pPr>
          </w:p>
        </w:tc>
      </w:tr>
      <w:tr w:rsidR="00D709F7" w:rsidRPr="00ED4477" w14:paraId="08F11FE0" w14:textId="77777777" w:rsidTr="0054049D">
        <w:tc>
          <w:tcPr>
            <w:tcW w:w="1526" w:type="dxa"/>
          </w:tcPr>
          <w:p w14:paraId="6EBED0A5"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Pr>
          <w:p w14:paraId="29574D98"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Pr>
          <w:p w14:paraId="1548793E"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Pr>
          <w:p w14:paraId="185FFBC5"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Pr>
          <w:p w14:paraId="354A698B"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Pr>
          <w:p w14:paraId="02BFBD16"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Pr>
          <w:p w14:paraId="10C5A254"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D709F7" w:rsidRPr="008E3979" w14:paraId="026720D9" w14:textId="77777777" w:rsidTr="0054049D">
        <w:tc>
          <w:tcPr>
            <w:tcW w:w="9122" w:type="dxa"/>
            <w:gridSpan w:val="8"/>
          </w:tcPr>
          <w:p w14:paraId="25609710" w14:textId="77777777" w:rsidR="00D709F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p>
          <w:p w14:paraId="05900D9E" w14:textId="77777777" w:rsidR="00D709F7" w:rsidRPr="008E3979" w:rsidRDefault="00D709F7" w:rsidP="0054049D">
            <w:pPr>
              <w:pStyle w:val="Lijstalinea"/>
              <w:autoSpaceDE w:val="0"/>
              <w:autoSpaceDN w:val="0"/>
              <w:adjustRightInd w:val="0"/>
              <w:spacing w:after="0"/>
              <w:ind w:left="360"/>
              <w:rPr>
                <w:rFonts w:ascii="Calibri" w:eastAsia="AvenirLTStd-Light" w:hAnsi="Calibri" w:cs="AvenirLTStd-Light"/>
              </w:rPr>
            </w:pPr>
          </w:p>
        </w:tc>
      </w:tr>
    </w:tbl>
    <w:p w14:paraId="66D489FA" w14:textId="77777777" w:rsidR="00D64BFA" w:rsidRDefault="00D64BFA" w:rsidP="0054049D">
      <w:pPr>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D64BFA" w:rsidRPr="00D64BFA" w14:paraId="6CE5D24B" w14:textId="77777777" w:rsidTr="00D64BFA">
        <w:tc>
          <w:tcPr>
            <w:tcW w:w="9122" w:type="dxa"/>
            <w:gridSpan w:val="8"/>
            <w:shd w:val="clear" w:color="auto" w:fill="auto"/>
          </w:tcPr>
          <w:p w14:paraId="7804D82B" w14:textId="18FEC0E9" w:rsidR="00D64BFA" w:rsidRPr="00D64BFA" w:rsidRDefault="00D64BFA" w:rsidP="00D64BFA">
            <w:pPr>
              <w:autoSpaceDE w:val="0"/>
              <w:autoSpaceDN w:val="0"/>
              <w:adjustRightInd w:val="0"/>
              <w:spacing w:after="0"/>
              <w:rPr>
                <w:rFonts w:eastAsia="AvenirLTStd-Light" w:cstheme="minorHAnsi"/>
                <w:b/>
              </w:rPr>
            </w:pPr>
            <w:r w:rsidRPr="00D64BFA">
              <w:rPr>
                <w:rFonts w:eastAsia="AvenirLTStd-Light" w:cstheme="minorHAnsi"/>
                <w:color w:val="000000"/>
              </w:rPr>
              <w:br w:type="page"/>
            </w:r>
            <w:r w:rsidRPr="00D64BFA">
              <w:rPr>
                <w:rFonts w:eastAsia="AvenirLTStd-Light" w:cstheme="minorHAnsi"/>
                <w:b/>
              </w:rPr>
              <w:t>2c.</w:t>
            </w:r>
            <w:r>
              <w:rPr>
                <w:rFonts w:eastAsia="AvenirLTStd-Light" w:cstheme="minorHAnsi"/>
                <w:b/>
              </w:rPr>
              <w:t>2</w:t>
            </w:r>
            <w:r w:rsidRPr="00D64BFA">
              <w:rPr>
                <w:rFonts w:eastAsia="AvenirLTStd-Light" w:cstheme="minorHAnsi"/>
                <w:b/>
              </w:rPr>
              <w:t xml:space="preserve"> </w:t>
            </w:r>
            <w:r w:rsidRPr="00D64BFA">
              <w:rPr>
                <w:rFonts w:cstheme="minorHAnsi"/>
                <w:b/>
              </w:rPr>
              <w:t>Scholing in EBM voor opleiders</w:t>
            </w:r>
          </w:p>
        </w:tc>
      </w:tr>
      <w:tr w:rsidR="00D64BFA" w:rsidRPr="00D64BFA" w14:paraId="14EF8ED1" w14:textId="77777777" w:rsidTr="00D64BFA">
        <w:tc>
          <w:tcPr>
            <w:tcW w:w="8188" w:type="dxa"/>
            <w:gridSpan w:val="7"/>
            <w:tcBorders>
              <w:bottom w:val="single" w:sz="4" w:space="0" w:color="auto"/>
            </w:tcBorders>
          </w:tcPr>
          <w:p w14:paraId="47C17E02" w14:textId="4D95969C" w:rsidR="00D64BFA" w:rsidRPr="00D64BFA" w:rsidRDefault="00D64BFA" w:rsidP="00D64BFA">
            <w:pPr>
              <w:autoSpaceDE w:val="0"/>
              <w:autoSpaceDN w:val="0"/>
              <w:adjustRightInd w:val="0"/>
              <w:spacing w:after="0"/>
              <w:rPr>
                <w:rFonts w:cstheme="minorHAnsi"/>
                <w:b/>
                <w:i/>
              </w:rPr>
            </w:pPr>
            <w:r w:rsidRPr="00D64BFA">
              <w:rPr>
                <w:rFonts w:eastAsia="AvenirLTStd-Light" w:cstheme="minorHAnsi"/>
                <w:i/>
              </w:rPr>
              <w:t>Oordeel van de aios over de mate waarin de opleider richtlijnen en gegevens uit wetenschappelijk onderzoek integreert in de begeleiding aan de aios.</w:t>
            </w:r>
          </w:p>
        </w:tc>
        <w:tc>
          <w:tcPr>
            <w:tcW w:w="934" w:type="dxa"/>
            <w:tcBorders>
              <w:bottom w:val="single" w:sz="4" w:space="0" w:color="auto"/>
            </w:tcBorders>
          </w:tcPr>
          <w:p w14:paraId="650BE8D1" w14:textId="77777777" w:rsidR="00D64BFA" w:rsidRPr="00D64BFA" w:rsidRDefault="00D64BFA" w:rsidP="00D64BFA">
            <w:pPr>
              <w:autoSpaceDE w:val="0"/>
              <w:autoSpaceDN w:val="0"/>
              <w:adjustRightInd w:val="0"/>
              <w:spacing w:after="0"/>
              <w:jc w:val="right"/>
              <w:rPr>
                <w:rFonts w:cstheme="minorHAnsi"/>
                <w:b/>
                <w:i/>
              </w:rPr>
            </w:pPr>
          </w:p>
        </w:tc>
      </w:tr>
      <w:tr w:rsidR="00D64BFA" w:rsidRPr="00D64BFA" w14:paraId="1274B7A1" w14:textId="77777777" w:rsidTr="00D64BFA">
        <w:tc>
          <w:tcPr>
            <w:tcW w:w="8188" w:type="dxa"/>
            <w:gridSpan w:val="7"/>
            <w:shd w:val="pct10" w:color="auto" w:fill="auto"/>
          </w:tcPr>
          <w:p w14:paraId="4546A930" w14:textId="44F2FF0D" w:rsidR="00D64BFA" w:rsidRPr="00D64BFA" w:rsidRDefault="00D64BFA" w:rsidP="00D64BFA">
            <w:pPr>
              <w:autoSpaceDE w:val="0"/>
              <w:autoSpaceDN w:val="0"/>
              <w:adjustRightInd w:val="0"/>
              <w:rPr>
                <w:rFonts w:eastAsia="AvenirLTStd-Light" w:cstheme="minorHAnsi"/>
              </w:rPr>
            </w:pPr>
            <w:r>
              <w:rPr>
                <w:rFonts w:eastAsia="AvenirLTStd-Light" w:cstheme="minorHAnsi"/>
              </w:rPr>
              <w:t xml:space="preserve">a. </w:t>
            </w:r>
            <w:r w:rsidRPr="00D64BFA">
              <w:rPr>
                <w:rFonts w:eastAsia="AvenirLTStd-Light" w:cstheme="minorHAnsi"/>
              </w:rPr>
              <w:t>de scores voor subitem 12 uit de CCTEI in NIVEL. De indicatorscore is het percentage aios dat “(zeer) eens” heeft gescoord op de stelling “Mijn opleider integreert handreikingen, richtlijnen en gegevens uit wetenschappelijk onderzoek in het onderwijs” voor alle opleidingsjaren. Streefscore &gt;50%</w:t>
            </w:r>
          </w:p>
        </w:tc>
        <w:tc>
          <w:tcPr>
            <w:tcW w:w="934" w:type="dxa"/>
            <w:shd w:val="pct10" w:color="auto" w:fill="auto"/>
          </w:tcPr>
          <w:p w14:paraId="42D5784B"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w:t>
            </w:r>
          </w:p>
        </w:tc>
      </w:tr>
      <w:tr w:rsidR="00D64BFA" w:rsidRPr="00D64BFA" w14:paraId="237A6AAF" w14:textId="77777777" w:rsidTr="00D64BFA">
        <w:trPr>
          <w:trHeight w:val="938"/>
        </w:trPr>
        <w:tc>
          <w:tcPr>
            <w:tcW w:w="9122" w:type="dxa"/>
            <w:gridSpan w:val="8"/>
          </w:tcPr>
          <w:p w14:paraId="22B561EC" w14:textId="77777777" w:rsidR="00D64BFA" w:rsidRPr="00D64BFA" w:rsidRDefault="00D64BFA" w:rsidP="00D64BFA">
            <w:pPr>
              <w:autoSpaceDE w:val="0"/>
              <w:autoSpaceDN w:val="0"/>
              <w:adjustRightInd w:val="0"/>
              <w:spacing w:after="0"/>
              <w:rPr>
                <w:rFonts w:eastAsia="AvenirLTStd-Light" w:cstheme="minorHAnsi"/>
              </w:rPr>
            </w:pPr>
          </w:p>
        </w:tc>
      </w:tr>
      <w:tr w:rsidR="00D64BFA" w:rsidRPr="00D64BFA" w14:paraId="57EAEFC3" w14:textId="77777777" w:rsidTr="00D64BFA">
        <w:tc>
          <w:tcPr>
            <w:tcW w:w="1526" w:type="dxa"/>
          </w:tcPr>
          <w:p w14:paraId="2A5B8E26"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Prioriteit:</w:t>
            </w:r>
          </w:p>
        </w:tc>
        <w:tc>
          <w:tcPr>
            <w:tcW w:w="1134" w:type="dxa"/>
          </w:tcPr>
          <w:p w14:paraId="156901BA"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Hoog</w:t>
            </w:r>
          </w:p>
        </w:tc>
        <w:tc>
          <w:tcPr>
            <w:tcW w:w="1276" w:type="dxa"/>
          </w:tcPr>
          <w:p w14:paraId="7873FFB4"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Middel</w:t>
            </w:r>
          </w:p>
        </w:tc>
        <w:tc>
          <w:tcPr>
            <w:tcW w:w="1417" w:type="dxa"/>
          </w:tcPr>
          <w:p w14:paraId="15259301"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Laag</w:t>
            </w:r>
          </w:p>
        </w:tc>
        <w:tc>
          <w:tcPr>
            <w:tcW w:w="1701" w:type="dxa"/>
          </w:tcPr>
          <w:p w14:paraId="5D855585"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Quick win:</w:t>
            </w:r>
          </w:p>
        </w:tc>
        <w:tc>
          <w:tcPr>
            <w:tcW w:w="992" w:type="dxa"/>
          </w:tcPr>
          <w:p w14:paraId="5F2EA615"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 xml:space="preserve">  Ja</w:t>
            </w:r>
          </w:p>
        </w:tc>
        <w:tc>
          <w:tcPr>
            <w:tcW w:w="1076" w:type="dxa"/>
            <w:gridSpan w:val="2"/>
          </w:tcPr>
          <w:p w14:paraId="1BA65A82"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Nee</w:t>
            </w:r>
          </w:p>
        </w:tc>
      </w:tr>
      <w:tr w:rsidR="00D64BFA" w:rsidRPr="00D64BFA" w14:paraId="489737DF" w14:textId="77777777" w:rsidTr="00D64BFA">
        <w:tc>
          <w:tcPr>
            <w:tcW w:w="9122" w:type="dxa"/>
            <w:gridSpan w:val="8"/>
            <w:tcBorders>
              <w:bottom w:val="single" w:sz="4" w:space="0" w:color="auto"/>
            </w:tcBorders>
          </w:tcPr>
          <w:p w14:paraId="6AFCF111"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 xml:space="preserve">Documentatie: </w:t>
            </w:r>
          </w:p>
          <w:p w14:paraId="04B9023B" w14:textId="77777777" w:rsidR="00D64BFA" w:rsidRPr="00D64BFA" w:rsidRDefault="00D64BFA" w:rsidP="00D64BFA">
            <w:pPr>
              <w:autoSpaceDE w:val="0"/>
              <w:autoSpaceDN w:val="0"/>
              <w:adjustRightInd w:val="0"/>
              <w:spacing w:after="0"/>
              <w:rPr>
                <w:rFonts w:eastAsia="AvenirLTStd-Light" w:cstheme="minorHAnsi"/>
              </w:rPr>
            </w:pPr>
          </w:p>
        </w:tc>
      </w:tr>
      <w:tr w:rsidR="00D64BFA" w:rsidRPr="00D64BFA" w14:paraId="692418F1" w14:textId="77777777" w:rsidTr="00D64BFA">
        <w:tc>
          <w:tcPr>
            <w:tcW w:w="8188" w:type="dxa"/>
            <w:gridSpan w:val="7"/>
            <w:shd w:val="pct10" w:color="auto" w:fill="auto"/>
          </w:tcPr>
          <w:p w14:paraId="6C4746D1" w14:textId="2F242727" w:rsidR="00D64BFA" w:rsidRPr="00D64BFA" w:rsidRDefault="00D64BFA" w:rsidP="00D64BFA">
            <w:pPr>
              <w:autoSpaceDE w:val="0"/>
              <w:autoSpaceDN w:val="0"/>
              <w:adjustRightInd w:val="0"/>
              <w:spacing w:after="0"/>
              <w:rPr>
                <w:rFonts w:eastAsia="AvenirLTStd-Light" w:cstheme="minorHAnsi"/>
              </w:rPr>
            </w:pPr>
            <w:r>
              <w:rPr>
                <w:rFonts w:eastAsia="AvenirLTStd-Light" w:cstheme="minorHAnsi"/>
              </w:rPr>
              <w:t xml:space="preserve">b. </w:t>
            </w:r>
            <w:r w:rsidRPr="00D64BFA">
              <w:rPr>
                <w:rFonts w:eastAsia="AvenirLTStd-Light" w:cstheme="minorHAnsi"/>
              </w:rPr>
              <w:t>EBM is onderdeel van jaarlijkse gesprekken tussen opleider en hoofd.</w:t>
            </w:r>
          </w:p>
        </w:tc>
        <w:tc>
          <w:tcPr>
            <w:tcW w:w="934" w:type="dxa"/>
            <w:shd w:val="pct10" w:color="auto" w:fill="auto"/>
          </w:tcPr>
          <w:p w14:paraId="0574B3D8" w14:textId="77777777" w:rsidR="00D64BFA" w:rsidRPr="00D64BFA" w:rsidRDefault="00D64BFA" w:rsidP="00D64BFA">
            <w:pPr>
              <w:autoSpaceDE w:val="0"/>
              <w:autoSpaceDN w:val="0"/>
              <w:adjustRightInd w:val="0"/>
              <w:spacing w:after="0"/>
              <w:jc w:val="right"/>
              <w:rPr>
                <w:rFonts w:eastAsia="AvenirLTStd-Light" w:cstheme="minorHAnsi"/>
              </w:rPr>
            </w:pPr>
            <w:r w:rsidRPr="00D64BFA">
              <w:rPr>
                <w:rFonts w:eastAsia="AvenirLTStd-Light" w:cstheme="minorHAnsi"/>
              </w:rPr>
              <w:t>*</w:t>
            </w:r>
          </w:p>
        </w:tc>
      </w:tr>
      <w:tr w:rsidR="00D64BFA" w:rsidRPr="00D64BFA" w14:paraId="6024CCE1" w14:textId="77777777" w:rsidTr="00D64BFA">
        <w:trPr>
          <w:trHeight w:val="551"/>
        </w:trPr>
        <w:tc>
          <w:tcPr>
            <w:tcW w:w="9122" w:type="dxa"/>
            <w:gridSpan w:val="8"/>
          </w:tcPr>
          <w:p w14:paraId="28DDCD96" w14:textId="77777777" w:rsidR="00D64BFA" w:rsidRPr="00D64BFA" w:rsidRDefault="00D64BFA" w:rsidP="00D64BFA">
            <w:pPr>
              <w:autoSpaceDE w:val="0"/>
              <w:autoSpaceDN w:val="0"/>
              <w:adjustRightInd w:val="0"/>
              <w:spacing w:after="0"/>
              <w:rPr>
                <w:rFonts w:eastAsia="AvenirLTStd-Light" w:cstheme="minorHAnsi"/>
              </w:rPr>
            </w:pPr>
          </w:p>
        </w:tc>
      </w:tr>
      <w:tr w:rsidR="00D64BFA" w:rsidRPr="00D64BFA" w14:paraId="56357F00" w14:textId="77777777" w:rsidTr="00D64BFA">
        <w:tc>
          <w:tcPr>
            <w:tcW w:w="1526" w:type="dxa"/>
          </w:tcPr>
          <w:p w14:paraId="7ED4C853"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Prioriteit:</w:t>
            </w:r>
          </w:p>
        </w:tc>
        <w:tc>
          <w:tcPr>
            <w:tcW w:w="1134" w:type="dxa"/>
          </w:tcPr>
          <w:p w14:paraId="44160A45"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Hoog</w:t>
            </w:r>
          </w:p>
        </w:tc>
        <w:tc>
          <w:tcPr>
            <w:tcW w:w="1276" w:type="dxa"/>
          </w:tcPr>
          <w:p w14:paraId="1C94C51F"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Middel</w:t>
            </w:r>
          </w:p>
        </w:tc>
        <w:tc>
          <w:tcPr>
            <w:tcW w:w="1417" w:type="dxa"/>
          </w:tcPr>
          <w:p w14:paraId="125AF7C1"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Laag</w:t>
            </w:r>
          </w:p>
        </w:tc>
        <w:tc>
          <w:tcPr>
            <w:tcW w:w="1701" w:type="dxa"/>
          </w:tcPr>
          <w:p w14:paraId="46DF5126"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Quick win:</w:t>
            </w:r>
          </w:p>
        </w:tc>
        <w:tc>
          <w:tcPr>
            <w:tcW w:w="992" w:type="dxa"/>
          </w:tcPr>
          <w:p w14:paraId="0038F4D4"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Ja</w:t>
            </w:r>
          </w:p>
        </w:tc>
        <w:tc>
          <w:tcPr>
            <w:tcW w:w="1076" w:type="dxa"/>
            <w:gridSpan w:val="2"/>
          </w:tcPr>
          <w:p w14:paraId="24150A36"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Nee</w:t>
            </w:r>
          </w:p>
        </w:tc>
      </w:tr>
      <w:tr w:rsidR="00D64BFA" w:rsidRPr="00D64BFA" w14:paraId="4A1EAFC1" w14:textId="77777777" w:rsidTr="00D64BFA">
        <w:tc>
          <w:tcPr>
            <w:tcW w:w="9122" w:type="dxa"/>
            <w:gridSpan w:val="8"/>
            <w:tcBorders>
              <w:bottom w:val="single" w:sz="4" w:space="0" w:color="auto"/>
            </w:tcBorders>
          </w:tcPr>
          <w:p w14:paraId="5D5612DE" w14:textId="77777777" w:rsidR="00D64BFA" w:rsidRPr="00D64BFA" w:rsidRDefault="00D64BFA" w:rsidP="00D64BFA">
            <w:pPr>
              <w:autoSpaceDE w:val="0"/>
              <w:autoSpaceDN w:val="0"/>
              <w:adjustRightInd w:val="0"/>
              <w:spacing w:after="0"/>
              <w:rPr>
                <w:rFonts w:eastAsia="AvenirLTStd-Light" w:cstheme="minorHAnsi"/>
              </w:rPr>
            </w:pPr>
            <w:r w:rsidRPr="00D64BFA">
              <w:rPr>
                <w:rFonts w:eastAsia="AvenirLTStd-Light" w:cstheme="minorHAnsi"/>
              </w:rPr>
              <w:t xml:space="preserve">Documentatie: </w:t>
            </w:r>
          </w:p>
        </w:tc>
      </w:tr>
    </w:tbl>
    <w:p w14:paraId="53B8EA64" w14:textId="77777777" w:rsidR="00D64BFA" w:rsidRDefault="00D64BFA">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p w14:paraId="1496B596" w14:textId="02BE25B3" w:rsidR="0054049D" w:rsidRPr="00B437BC" w:rsidRDefault="0054049D" w:rsidP="0054049D">
      <w:pPr>
        <w:rPr>
          <w:rFonts w:ascii="Calibri" w:eastAsia="AvenirLTStd-Light" w:hAnsi="Calibri" w:cs="AvenirLTStd-Light"/>
          <w:b/>
          <w:noProof/>
          <w:sz w:val="24"/>
          <w:szCs w:val="24"/>
        </w:rPr>
      </w:pPr>
      <w:r>
        <w:rPr>
          <w:rFonts w:ascii="Calibri" w:eastAsia="AvenirLTStd-Light" w:hAnsi="Calibri" w:cs="AvenirLTStd-Light"/>
          <w:b/>
          <w:noProof/>
          <w:sz w:val="24"/>
          <w:szCs w:val="24"/>
        </w:rPr>
        <w:lastRenderedPageBreak/>
        <w:t>2d. Wetenschappelijk klimaat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54049D" w:rsidRPr="00B5204D" w14:paraId="29CA4430" w14:textId="77777777" w:rsidTr="0054049D">
        <w:tc>
          <w:tcPr>
            <w:tcW w:w="9122" w:type="dxa"/>
            <w:gridSpan w:val="8"/>
            <w:shd w:val="clear" w:color="auto" w:fill="auto"/>
          </w:tcPr>
          <w:p w14:paraId="74C0F6D5" w14:textId="77777777" w:rsidR="0054049D" w:rsidRPr="00B5204D" w:rsidRDefault="0054049D" w:rsidP="0054049D">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Pr>
                <w:rFonts w:ascii="Calibri" w:eastAsia="AvenirLTStd-Light" w:hAnsi="Calibri" w:cs="AvenirLTStd-Light"/>
                <w:b/>
              </w:rPr>
              <w:t>2d</w:t>
            </w:r>
            <w:r w:rsidRPr="00B5204D">
              <w:rPr>
                <w:rFonts w:ascii="Calibri" w:eastAsia="AvenirLTStd-Light" w:hAnsi="Calibri" w:cs="AvenirLTStd-Light"/>
                <w:b/>
              </w:rPr>
              <w:t xml:space="preserve">.1 </w:t>
            </w:r>
            <w:r>
              <w:rPr>
                <w:rFonts w:ascii="Calibri" w:eastAsia="AvenirLTStd-Light" w:hAnsi="Calibri" w:cs="AvenirLTStd-Light"/>
                <w:b/>
              </w:rPr>
              <w:t>Betrokkenheid</w:t>
            </w:r>
            <w:r w:rsidRPr="008C30A3">
              <w:rPr>
                <w:rFonts w:ascii="Calibri" w:eastAsia="AvenirLTStd-Light" w:hAnsi="Calibri" w:cs="AvenirLTStd-Light"/>
                <w:b/>
              </w:rPr>
              <w:t xml:space="preserve"> bij </w:t>
            </w:r>
            <w:r w:rsidRPr="008C30A3">
              <w:rPr>
                <w:rFonts w:ascii="Calibri" w:hAnsi="Calibri" w:cs="AvenirLTStd-Heavy"/>
                <w:b/>
              </w:rPr>
              <w:t>relevante wetenschappelijke activiteiten</w:t>
            </w:r>
            <w:r>
              <w:rPr>
                <w:rFonts w:ascii="Calibri" w:hAnsi="Calibri" w:cs="AvenirLTStd-Heavy"/>
                <w:b/>
              </w:rPr>
              <w:t xml:space="preserve"> wordt gestimuleerd</w:t>
            </w:r>
          </w:p>
        </w:tc>
      </w:tr>
      <w:tr w:rsidR="00D372AA" w:rsidRPr="00D372AA" w14:paraId="2D9B6254" w14:textId="77777777" w:rsidTr="00D64BFA">
        <w:tc>
          <w:tcPr>
            <w:tcW w:w="8188" w:type="dxa"/>
            <w:gridSpan w:val="7"/>
            <w:tcBorders>
              <w:bottom w:val="single" w:sz="4" w:space="0" w:color="auto"/>
            </w:tcBorders>
          </w:tcPr>
          <w:p w14:paraId="716DE34F" w14:textId="0EDA6EDC" w:rsidR="00D372AA" w:rsidRPr="00D372AA" w:rsidRDefault="00D372AA" w:rsidP="00D64BFA">
            <w:pPr>
              <w:autoSpaceDE w:val="0"/>
              <w:autoSpaceDN w:val="0"/>
              <w:adjustRightInd w:val="0"/>
              <w:spacing w:after="0"/>
              <w:rPr>
                <w:rFonts w:cs="Lucida Sans Unicode"/>
                <w:b/>
                <w:i/>
              </w:rPr>
            </w:pPr>
            <w:r w:rsidRPr="00D372AA">
              <w:rPr>
                <w:rFonts w:eastAsia="AvenirLTStd-Light"/>
                <w:i/>
              </w:rPr>
              <w:t>De wijze waarop het instituut aios, docenten en opleiders stimuleert en faciliteert om betrokken te zijn bij wetenschappelijke activiteiten.</w:t>
            </w:r>
          </w:p>
        </w:tc>
        <w:tc>
          <w:tcPr>
            <w:tcW w:w="934" w:type="dxa"/>
            <w:tcBorders>
              <w:bottom w:val="single" w:sz="4" w:space="0" w:color="auto"/>
            </w:tcBorders>
          </w:tcPr>
          <w:p w14:paraId="1FB63EFE" w14:textId="77777777" w:rsidR="00D372AA" w:rsidRPr="00D372AA" w:rsidRDefault="00D372AA" w:rsidP="00D64BFA">
            <w:pPr>
              <w:autoSpaceDE w:val="0"/>
              <w:autoSpaceDN w:val="0"/>
              <w:adjustRightInd w:val="0"/>
              <w:spacing w:after="0"/>
              <w:jc w:val="right"/>
              <w:rPr>
                <w:rFonts w:cs="Lucida Sans Unicode"/>
                <w:b/>
                <w:i/>
              </w:rPr>
            </w:pPr>
          </w:p>
        </w:tc>
      </w:tr>
      <w:tr w:rsidR="0054049D" w:rsidRPr="0043646A" w14:paraId="7514CE9C" w14:textId="77777777" w:rsidTr="00A83700">
        <w:tc>
          <w:tcPr>
            <w:tcW w:w="8188" w:type="dxa"/>
            <w:gridSpan w:val="7"/>
            <w:shd w:val="pct10" w:color="auto" w:fill="auto"/>
          </w:tcPr>
          <w:p w14:paraId="3D567F95" w14:textId="3343C18C" w:rsidR="0054049D" w:rsidRPr="00E9022E" w:rsidRDefault="00E9022E" w:rsidP="003B0473">
            <w:pPr>
              <w:pStyle w:val="Lijstalinea"/>
              <w:numPr>
                <w:ilvl w:val="0"/>
                <w:numId w:val="4"/>
              </w:numPr>
              <w:autoSpaceDE w:val="0"/>
              <w:autoSpaceDN w:val="0"/>
              <w:adjustRightInd w:val="0"/>
              <w:rPr>
                <w:rFonts w:ascii="Calibri" w:eastAsia="AvenirLTStd-Light" w:hAnsi="Calibri"/>
              </w:rPr>
            </w:pPr>
            <w:r w:rsidRPr="00E9022E">
              <w:rPr>
                <w:rFonts w:ascii="Calibri" w:eastAsia="AvenirLTStd-Light" w:hAnsi="Calibri" w:cs="AvenirLTStd-Light"/>
              </w:rPr>
              <w:t xml:space="preserve">Het instituut </w:t>
            </w:r>
            <w:r w:rsidR="003B0473">
              <w:rPr>
                <w:rFonts w:ascii="Calibri" w:eastAsia="AvenirLTStd-Light" w:hAnsi="Calibri" w:cs="AvenirLTStd-Light"/>
              </w:rPr>
              <w:t>brengt</w:t>
            </w:r>
            <w:r w:rsidRPr="00E9022E">
              <w:rPr>
                <w:rFonts w:ascii="Calibri" w:eastAsia="AvenirLTStd-Light" w:hAnsi="Calibri" w:cs="AvenirLTStd-Light"/>
              </w:rPr>
              <w:t xml:space="preserve"> ten minste twee van de bovengenoemde wetenschappelijke activiteiten onder </w:t>
            </w:r>
            <w:r w:rsidR="003B0473">
              <w:rPr>
                <w:rFonts w:ascii="Calibri" w:eastAsia="AvenirLTStd-Light" w:hAnsi="Calibri" w:cs="AvenirLTStd-Light"/>
              </w:rPr>
              <w:t xml:space="preserve">de aandacht van </w:t>
            </w:r>
            <w:r w:rsidRPr="00E9022E">
              <w:rPr>
                <w:rFonts w:ascii="Calibri" w:eastAsia="AvenirLTStd-Light" w:hAnsi="Calibri" w:cs="AvenirLTStd-Light"/>
              </w:rPr>
              <w:t>aios, docenten en opleiders</w:t>
            </w:r>
            <w:r w:rsidR="00B437BC">
              <w:rPr>
                <w:rFonts w:ascii="Calibri" w:eastAsia="AvenirLTStd-Light" w:hAnsi="Calibri" w:cs="AvenirLTStd-Light"/>
              </w:rPr>
              <w:t>.</w:t>
            </w:r>
          </w:p>
        </w:tc>
        <w:tc>
          <w:tcPr>
            <w:tcW w:w="934" w:type="dxa"/>
            <w:shd w:val="pct10" w:color="auto" w:fill="auto"/>
          </w:tcPr>
          <w:p w14:paraId="3A694F52" w14:textId="13F1BEEF" w:rsidR="0054049D" w:rsidRPr="00914F2A" w:rsidRDefault="00872E26"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54049D" w:rsidRPr="0043646A" w14:paraId="5556AC0F" w14:textId="77777777" w:rsidTr="00A83700">
        <w:trPr>
          <w:trHeight w:val="938"/>
        </w:trPr>
        <w:tc>
          <w:tcPr>
            <w:tcW w:w="9122" w:type="dxa"/>
            <w:gridSpan w:val="8"/>
            <w:tcBorders>
              <w:bottom w:val="single" w:sz="4" w:space="0" w:color="auto"/>
            </w:tcBorders>
          </w:tcPr>
          <w:p w14:paraId="3A471E00" w14:textId="77777777" w:rsidR="0054049D" w:rsidRPr="00914F2A" w:rsidRDefault="0054049D" w:rsidP="0054049D">
            <w:pPr>
              <w:autoSpaceDE w:val="0"/>
              <w:autoSpaceDN w:val="0"/>
              <w:adjustRightInd w:val="0"/>
              <w:spacing w:after="0"/>
              <w:rPr>
                <w:rFonts w:ascii="Calibri" w:eastAsia="AvenirLTStd-Light" w:hAnsi="Calibri" w:cs="AvenirLTStd-Light"/>
              </w:rPr>
            </w:pPr>
          </w:p>
        </w:tc>
      </w:tr>
      <w:tr w:rsidR="0054049D" w:rsidRPr="0043646A" w14:paraId="356FF24A" w14:textId="77777777" w:rsidTr="00A83700">
        <w:tc>
          <w:tcPr>
            <w:tcW w:w="1526" w:type="dxa"/>
            <w:shd w:val="pct10" w:color="auto" w:fill="auto"/>
          </w:tcPr>
          <w:p w14:paraId="79138EEB"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7E5EB48B"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2413D59"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BDB34C1"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383BD82"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00A0590"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1B8416EB"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4049D" w:rsidRPr="0043646A" w14:paraId="6BC0117C" w14:textId="77777777" w:rsidTr="00A83700">
        <w:tc>
          <w:tcPr>
            <w:tcW w:w="9122" w:type="dxa"/>
            <w:gridSpan w:val="8"/>
            <w:tcBorders>
              <w:bottom w:val="single" w:sz="4" w:space="0" w:color="auto"/>
            </w:tcBorders>
          </w:tcPr>
          <w:p w14:paraId="22AEDBD9" w14:textId="77777777" w:rsidR="0054049D"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934DAF1" w14:textId="77777777" w:rsidR="0054049D" w:rsidRPr="005A198C" w:rsidRDefault="0054049D" w:rsidP="0054049D">
            <w:pPr>
              <w:autoSpaceDE w:val="0"/>
              <w:autoSpaceDN w:val="0"/>
              <w:adjustRightInd w:val="0"/>
              <w:spacing w:after="0"/>
              <w:rPr>
                <w:rFonts w:ascii="Calibri" w:eastAsia="AvenirLTStd-Light" w:hAnsi="Calibri" w:cs="AvenirLTStd-Light"/>
              </w:rPr>
            </w:pPr>
          </w:p>
        </w:tc>
      </w:tr>
      <w:tr w:rsidR="0054049D" w:rsidRPr="0043646A" w14:paraId="429B19BE" w14:textId="77777777" w:rsidTr="00A83700">
        <w:tc>
          <w:tcPr>
            <w:tcW w:w="8188" w:type="dxa"/>
            <w:gridSpan w:val="7"/>
            <w:shd w:val="pct10" w:color="auto" w:fill="auto"/>
          </w:tcPr>
          <w:p w14:paraId="426BBC41" w14:textId="5BADA09A" w:rsidR="0054049D" w:rsidRPr="00554400" w:rsidRDefault="00E9022E" w:rsidP="00A024A6">
            <w:pPr>
              <w:pStyle w:val="Lijstalinea"/>
              <w:numPr>
                <w:ilvl w:val="0"/>
                <w:numId w:val="4"/>
              </w:numPr>
              <w:autoSpaceDE w:val="0"/>
              <w:autoSpaceDN w:val="0"/>
              <w:adjustRightInd w:val="0"/>
              <w:spacing w:after="0"/>
              <w:rPr>
                <w:rFonts w:ascii="Calibri" w:eastAsia="AvenirLTStd-Light" w:hAnsi="Calibri" w:cs="AvenirLTStd-Light"/>
              </w:rPr>
            </w:pPr>
            <w:r w:rsidRPr="00E9022E">
              <w:rPr>
                <w:rFonts w:ascii="Calibri" w:eastAsia="AvenirLTStd-Light" w:hAnsi="Calibri" w:cs="AvenirLTStd-Light"/>
              </w:rPr>
              <w:t>Het instituut nodigt gericht aios, docenten en opleiders  uit voor wetenschappelij</w:t>
            </w:r>
            <w:r w:rsidR="00B437BC">
              <w:rPr>
                <w:rFonts w:ascii="Calibri" w:eastAsia="AvenirLTStd-Light" w:hAnsi="Calibri" w:cs="AvenirLTStd-Light"/>
              </w:rPr>
              <w:t>ke activiteiten van de afdeling.</w:t>
            </w:r>
          </w:p>
        </w:tc>
        <w:tc>
          <w:tcPr>
            <w:tcW w:w="934" w:type="dxa"/>
            <w:shd w:val="pct10" w:color="auto" w:fill="auto"/>
          </w:tcPr>
          <w:p w14:paraId="3A21ED58" w14:textId="3C36A25A" w:rsidR="0054049D" w:rsidRPr="00914F2A" w:rsidRDefault="00872E26" w:rsidP="0054049D">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54049D" w:rsidRPr="0043646A" w14:paraId="0E7EA7A2" w14:textId="77777777" w:rsidTr="00A83700">
        <w:trPr>
          <w:trHeight w:val="551"/>
        </w:trPr>
        <w:tc>
          <w:tcPr>
            <w:tcW w:w="9122" w:type="dxa"/>
            <w:gridSpan w:val="8"/>
            <w:tcBorders>
              <w:bottom w:val="single" w:sz="4" w:space="0" w:color="auto"/>
            </w:tcBorders>
          </w:tcPr>
          <w:p w14:paraId="53376085" w14:textId="77777777" w:rsidR="0054049D" w:rsidRPr="00914F2A" w:rsidRDefault="0054049D" w:rsidP="0054049D">
            <w:pPr>
              <w:autoSpaceDE w:val="0"/>
              <w:autoSpaceDN w:val="0"/>
              <w:adjustRightInd w:val="0"/>
              <w:spacing w:after="0"/>
              <w:rPr>
                <w:rFonts w:ascii="Calibri" w:eastAsia="AvenirLTStd-Light" w:hAnsi="Calibri" w:cs="AvenirLTStd-Light"/>
              </w:rPr>
            </w:pPr>
          </w:p>
        </w:tc>
      </w:tr>
      <w:tr w:rsidR="0054049D" w:rsidRPr="0043646A" w14:paraId="16DF2492" w14:textId="77777777" w:rsidTr="00A83700">
        <w:tc>
          <w:tcPr>
            <w:tcW w:w="1526" w:type="dxa"/>
            <w:shd w:val="pct10" w:color="auto" w:fill="auto"/>
          </w:tcPr>
          <w:p w14:paraId="2BF1B91C"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7357370B"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3E792F6"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5FDCBD9"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44820DA3"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C51FCD5"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005D5053" w14:textId="77777777" w:rsidR="0054049D" w:rsidRPr="00ED4477"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4049D" w:rsidRPr="0043646A" w14:paraId="2907DDA1" w14:textId="77777777" w:rsidTr="0054049D">
        <w:tc>
          <w:tcPr>
            <w:tcW w:w="9122" w:type="dxa"/>
            <w:gridSpan w:val="8"/>
          </w:tcPr>
          <w:p w14:paraId="098AB329" w14:textId="77777777" w:rsidR="0054049D" w:rsidRPr="005B2234" w:rsidRDefault="0054049D"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bl>
    <w:p w14:paraId="5BE7F386" w14:textId="69972E19" w:rsidR="00E9022E" w:rsidRDefault="00E902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E9022E" w:rsidRPr="00B5204D" w14:paraId="0F76EF67" w14:textId="77777777" w:rsidTr="00D64BFA">
        <w:tc>
          <w:tcPr>
            <w:tcW w:w="9122" w:type="dxa"/>
            <w:gridSpan w:val="8"/>
            <w:shd w:val="clear" w:color="auto" w:fill="auto"/>
          </w:tcPr>
          <w:p w14:paraId="6C763FB5" w14:textId="77777777" w:rsidR="00E9022E" w:rsidRPr="00B5204D" w:rsidRDefault="00E9022E" w:rsidP="00E9022E">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Pr>
                <w:rFonts w:ascii="Calibri" w:eastAsia="AvenirLTStd-Light" w:hAnsi="Calibri" w:cs="AvenirLTStd-Light"/>
                <w:b/>
              </w:rPr>
              <w:t>2d</w:t>
            </w:r>
            <w:r w:rsidRPr="00B5204D">
              <w:rPr>
                <w:rFonts w:ascii="Calibri" w:eastAsia="AvenirLTStd-Light" w:hAnsi="Calibri" w:cs="AvenirLTStd-Light"/>
                <w:b/>
              </w:rPr>
              <w:t>.</w:t>
            </w:r>
            <w:r>
              <w:rPr>
                <w:rFonts w:ascii="Calibri" w:eastAsia="AvenirLTStd-Light" w:hAnsi="Calibri" w:cs="AvenirLTStd-Light"/>
                <w:b/>
              </w:rPr>
              <w:t>2</w:t>
            </w:r>
            <w:r w:rsidRPr="00B5204D">
              <w:rPr>
                <w:rFonts w:ascii="Calibri" w:eastAsia="AvenirLTStd-Light" w:hAnsi="Calibri" w:cs="AvenirLTStd-Light"/>
                <w:b/>
              </w:rPr>
              <w:t xml:space="preserve"> </w:t>
            </w:r>
            <w:r w:rsidRPr="00E9022E">
              <w:rPr>
                <w:rFonts w:ascii="Calibri" w:eastAsia="AvenirLTStd-Light" w:hAnsi="Calibri" w:cs="AvenirLTStd-Light"/>
                <w:b/>
              </w:rPr>
              <w:t>Academische leer/werkomgevingen</w:t>
            </w:r>
          </w:p>
        </w:tc>
      </w:tr>
      <w:tr w:rsidR="00D372AA" w:rsidRPr="00D372AA" w14:paraId="3C1FD49A" w14:textId="77777777" w:rsidTr="00D64BFA">
        <w:tc>
          <w:tcPr>
            <w:tcW w:w="8188" w:type="dxa"/>
            <w:gridSpan w:val="7"/>
            <w:tcBorders>
              <w:bottom w:val="single" w:sz="4" w:space="0" w:color="auto"/>
            </w:tcBorders>
          </w:tcPr>
          <w:p w14:paraId="3DB493DD" w14:textId="792CC2E3" w:rsidR="00D372AA" w:rsidRPr="00D372AA" w:rsidRDefault="00D372AA" w:rsidP="00D64BFA">
            <w:pPr>
              <w:autoSpaceDE w:val="0"/>
              <w:autoSpaceDN w:val="0"/>
              <w:adjustRightInd w:val="0"/>
              <w:spacing w:after="0"/>
              <w:rPr>
                <w:rFonts w:cs="Lucida Sans Unicode"/>
                <w:b/>
                <w:i/>
              </w:rPr>
            </w:pPr>
            <w:r w:rsidRPr="00D372AA">
              <w:rPr>
                <w:rFonts w:eastAsia="AvenirLTStd-Light"/>
                <w:i/>
              </w:rPr>
              <w:t>Aios worden actief betrokken bij wetenschappelijk onderzoek.</w:t>
            </w:r>
          </w:p>
        </w:tc>
        <w:tc>
          <w:tcPr>
            <w:tcW w:w="934" w:type="dxa"/>
            <w:tcBorders>
              <w:bottom w:val="single" w:sz="4" w:space="0" w:color="auto"/>
            </w:tcBorders>
          </w:tcPr>
          <w:p w14:paraId="5399535C" w14:textId="77777777" w:rsidR="00D372AA" w:rsidRPr="00D372AA" w:rsidRDefault="00D372AA" w:rsidP="00D64BFA">
            <w:pPr>
              <w:autoSpaceDE w:val="0"/>
              <w:autoSpaceDN w:val="0"/>
              <w:adjustRightInd w:val="0"/>
              <w:spacing w:after="0"/>
              <w:jc w:val="right"/>
              <w:rPr>
                <w:rFonts w:cs="Lucida Sans Unicode"/>
                <w:b/>
                <w:i/>
              </w:rPr>
            </w:pPr>
          </w:p>
        </w:tc>
      </w:tr>
      <w:tr w:rsidR="00E9022E" w:rsidRPr="0043646A" w14:paraId="03F86920" w14:textId="77777777" w:rsidTr="00A83700">
        <w:tc>
          <w:tcPr>
            <w:tcW w:w="8188" w:type="dxa"/>
            <w:gridSpan w:val="7"/>
            <w:shd w:val="pct10" w:color="auto" w:fill="auto"/>
          </w:tcPr>
          <w:p w14:paraId="3AC6FFAC" w14:textId="7D945FFC" w:rsidR="00E9022E" w:rsidRPr="00E9022E" w:rsidRDefault="00E9022E" w:rsidP="00E9022E">
            <w:pPr>
              <w:pStyle w:val="Lijstalinea"/>
              <w:numPr>
                <w:ilvl w:val="0"/>
                <w:numId w:val="5"/>
              </w:numPr>
              <w:autoSpaceDE w:val="0"/>
              <w:autoSpaceDN w:val="0"/>
              <w:adjustRightInd w:val="0"/>
              <w:rPr>
                <w:rFonts w:ascii="Calibri" w:eastAsia="AvenirLTStd-Light" w:hAnsi="Calibri"/>
              </w:rPr>
            </w:pPr>
            <w:r w:rsidRPr="00E9022E">
              <w:rPr>
                <w:rFonts w:ascii="Calibri" w:eastAsia="AvenirLTStd-Light" w:hAnsi="Calibri"/>
              </w:rPr>
              <w:t>Vanuit het opleidingsinstituut worden aios gestimuleerd om deel te nemen aan het wetenschappelijk onderzoek in de opleidingspraktijk</w:t>
            </w:r>
            <w:r w:rsidR="00B437BC">
              <w:rPr>
                <w:rFonts w:ascii="Calibri" w:eastAsia="AvenirLTStd-Light" w:hAnsi="Calibri"/>
              </w:rPr>
              <w:t>.</w:t>
            </w:r>
          </w:p>
        </w:tc>
        <w:tc>
          <w:tcPr>
            <w:tcW w:w="934" w:type="dxa"/>
            <w:shd w:val="pct10" w:color="auto" w:fill="auto"/>
          </w:tcPr>
          <w:p w14:paraId="7F4B39E1" w14:textId="16FF3422" w:rsidR="00E9022E" w:rsidRPr="00914F2A" w:rsidRDefault="00872E26"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E9022E" w:rsidRPr="0043646A" w14:paraId="6117EAAC" w14:textId="77777777" w:rsidTr="00A83700">
        <w:trPr>
          <w:trHeight w:val="938"/>
        </w:trPr>
        <w:tc>
          <w:tcPr>
            <w:tcW w:w="9122" w:type="dxa"/>
            <w:gridSpan w:val="8"/>
            <w:tcBorders>
              <w:bottom w:val="single" w:sz="4" w:space="0" w:color="auto"/>
            </w:tcBorders>
          </w:tcPr>
          <w:p w14:paraId="6BE591D1" w14:textId="77777777" w:rsidR="00E9022E" w:rsidRPr="00914F2A" w:rsidRDefault="00E9022E" w:rsidP="00D64BFA">
            <w:pPr>
              <w:autoSpaceDE w:val="0"/>
              <w:autoSpaceDN w:val="0"/>
              <w:adjustRightInd w:val="0"/>
              <w:spacing w:after="0"/>
              <w:rPr>
                <w:rFonts w:ascii="Calibri" w:eastAsia="AvenirLTStd-Light" w:hAnsi="Calibri" w:cs="AvenirLTStd-Light"/>
              </w:rPr>
            </w:pPr>
          </w:p>
        </w:tc>
      </w:tr>
      <w:tr w:rsidR="00E9022E" w:rsidRPr="0043646A" w14:paraId="1AB9E108" w14:textId="77777777" w:rsidTr="00A83700">
        <w:tc>
          <w:tcPr>
            <w:tcW w:w="1526" w:type="dxa"/>
            <w:shd w:val="pct10" w:color="auto" w:fill="auto"/>
          </w:tcPr>
          <w:p w14:paraId="6D92AA1D"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E950E60"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27554BD3"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0E4A940E"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E1E8B9D"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54DEFE85"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09D71128"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E9022E" w:rsidRPr="0043646A" w14:paraId="51BA9C1D" w14:textId="77777777" w:rsidTr="00A83700">
        <w:tc>
          <w:tcPr>
            <w:tcW w:w="9122" w:type="dxa"/>
            <w:gridSpan w:val="8"/>
            <w:tcBorders>
              <w:bottom w:val="single" w:sz="4" w:space="0" w:color="auto"/>
            </w:tcBorders>
          </w:tcPr>
          <w:p w14:paraId="67FABDE8" w14:textId="77777777" w:rsidR="00E9022E"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9544A7F" w14:textId="77777777" w:rsidR="00E9022E" w:rsidRPr="005A198C" w:rsidRDefault="00E9022E" w:rsidP="00D64BFA">
            <w:pPr>
              <w:autoSpaceDE w:val="0"/>
              <w:autoSpaceDN w:val="0"/>
              <w:adjustRightInd w:val="0"/>
              <w:spacing w:after="0"/>
              <w:rPr>
                <w:rFonts w:ascii="Calibri" w:eastAsia="AvenirLTStd-Light" w:hAnsi="Calibri" w:cs="AvenirLTStd-Light"/>
              </w:rPr>
            </w:pPr>
          </w:p>
        </w:tc>
      </w:tr>
      <w:tr w:rsidR="00E9022E" w:rsidRPr="0043646A" w14:paraId="3C65B3B0" w14:textId="77777777" w:rsidTr="00A83700">
        <w:tc>
          <w:tcPr>
            <w:tcW w:w="8188" w:type="dxa"/>
            <w:gridSpan w:val="7"/>
            <w:shd w:val="pct10" w:color="auto" w:fill="auto"/>
          </w:tcPr>
          <w:p w14:paraId="7F03E44A" w14:textId="7B23FE23" w:rsidR="00E9022E" w:rsidRPr="00554400" w:rsidRDefault="00E9022E" w:rsidP="00E9022E">
            <w:pPr>
              <w:pStyle w:val="Lijstalinea"/>
              <w:numPr>
                <w:ilvl w:val="0"/>
                <w:numId w:val="5"/>
              </w:numPr>
              <w:autoSpaceDE w:val="0"/>
              <w:autoSpaceDN w:val="0"/>
              <w:adjustRightInd w:val="0"/>
              <w:spacing w:after="0"/>
              <w:rPr>
                <w:rFonts w:ascii="Calibri" w:eastAsia="AvenirLTStd-Light" w:hAnsi="Calibri" w:cs="AvenirLTStd-Light"/>
              </w:rPr>
            </w:pPr>
            <w:r w:rsidRPr="00E9022E">
              <w:rPr>
                <w:rFonts w:ascii="Calibri" w:eastAsia="AvenirLTStd-Light" w:hAnsi="Calibri" w:cs="AvenirLTStd-Light"/>
              </w:rPr>
              <w:t>Opleiders worden getraind/geïnstrueerd in het inzetten van de aios bij onderzoek (bijvoorbeeld verantwoordelijk maken voor logistiek en planning, contacten onderhouden met onderzoeker, includeren van patiënten, on</w:t>
            </w:r>
            <w:r w:rsidR="00B437BC">
              <w:rPr>
                <w:rFonts w:ascii="Calibri" w:eastAsia="AvenirLTStd-Light" w:hAnsi="Calibri" w:cs="AvenirLTStd-Light"/>
              </w:rPr>
              <w:t>derzoeksvoorstel kennen)</w:t>
            </w:r>
            <w:r w:rsidRPr="00E9022E">
              <w:rPr>
                <w:rFonts w:ascii="Calibri" w:eastAsia="AvenirLTStd-Light" w:hAnsi="Calibri" w:cs="AvenirLTStd-Light"/>
              </w:rPr>
              <w:t>.</w:t>
            </w:r>
          </w:p>
        </w:tc>
        <w:tc>
          <w:tcPr>
            <w:tcW w:w="934" w:type="dxa"/>
            <w:shd w:val="pct10" w:color="auto" w:fill="auto"/>
          </w:tcPr>
          <w:p w14:paraId="5359F054" w14:textId="577FC33C" w:rsidR="00E9022E" w:rsidRPr="00914F2A" w:rsidRDefault="00872E26" w:rsidP="00D64BFA">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E9022E" w:rsidRPr="0043646A" w14:paraId="56DE5B1D" w14:textId="77777777" w:rsidTr="00A83700">
        <w:trPr>
          <w:trHeight w:val="551"/>
        </w:trPr>
        <w:tc>
          <w:tcPr>
            <w:tcW w:w="9122" w:type="dxa"/>
            <w:gridSpan w:val="8"/>
            <w:tcBorders>
              <w:bottom w:val="single" w:sz="4" w:space="0" w:color="auto"/>
            </w:tcBorders>
          </w:tcPr>
          <w:p w14:paraId="24AB335E" w14:textId="77777777" w:rsidR="00E9022E" w:rsidRPr="00914F2A" w:rsidRDefault="00E9022E" w:rsidP="00D64BFA">
            <w:pPr>
              <w:autoSpaceDE w:val="0"/>
              <w:autoSpaceDN w:val="0"/>
              <w:adjustRightInd w:val="0"/>
              <w:spacing w:after="0"/>
              <w:rPr>
                <w:rFonts w:ascii="Calibri" w:eastAsia="AvenirLTStd-Light" w:hAnsi="Calibri" w:cs="AvenirLTStd-Light"/>
              </w:rPr>
            </w:pPr>
          </w:p>
        </w:tc>
      </w:tr>
      <w:tr w:rsidR="00E9022E" w:rsidRPr="0043646A" w14:paraId="650EED3E" w14:textId="77777777" w:rsidTr="00A83700">
        <w:tc>
          <w:tcPr>
            <w:tcW w:w="1526" w:type="dxa"/>
            <w:shd w:val="pct10" w:color="auto" w:fill="auto"/>
          </w:tcPr>
          <w:p w14:paraId="2B5A49B1"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41C9E331"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91DAB1C"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023A48FC"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110EB01C"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B86DD5D"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7FE73CA8"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E9022E" w:rsidRPr="0043646A" w14:paraId="705C3A58" w14:textId="77777777" w:rsidTr="00A83700">
        <w:tc>
          <w:tcPr>
            <w:tcW w:w="9122" w:type="dxa"/>
            <w:gridSpan w:val="8"/>
            <w:tcBorders>
              <w:bottom w:val="single" w:sz="4" w:space="0" w:color="auto"/>
            </w:tcBorders>
          </w:tcPr>
          <w:p w14:paraId="08B0593D" w14:textId="77777777" w:rsidR="00E9022E" w:rsidRPr="005B2234"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lastRenderedPageBreak/>
              <w:t xml:space="preserve">Documentatie: </w:t>
            </w:r>
          </w:p>
        </w:tc>
      </w:tr>
      <w:tr w:rsidR="00E9022E" w:rsidRPr="0043646A" w14:paraId="54C2A7C2" w14:textId="77777777" w:rsidTr="00A83700">
        <w:tc>
          <w:tcPr>
            <w:tcW w:w="8188" w:type="dxa"/>
            <w:gridSpan w:val="7"/>
            <w:shd w:val="pct10" w:color="auto" w:fill="auto"/>
          </w:tcPr>
          <w:p w14:paraId="1D374339" w14:textId="243D95C6" w:rsidR="00B437BC" w:rsidRPr="00B437BC" w:rsidRDefault="00E9022E" w:rsidP="00B437BC">
            <w:pPr>
              <w:pStyle w:val="Lijstalinea"/>
              <w:numPr>
                <w:ilvl w:val="0"/>
                <w:numId w:val="5"/>
              </w:numPr>
              <w:autoSpaceDE w:val="0"/>
              <w:autoSpaceDN w:val="0"/>
              <w:adjustRightInd w:val="0"/>
              <w:spacing w:after="0"/>
              <w:rPr>
                <w:rFonts w:ascii="Calibri" w:eastAsia="AvenirLTStd-Light" w:hAnsi="Calibri" w:cs="AvenirLTStd-Light"/>
              </w:rPr>
            </w:pPr>
            <w:r w:rsidRPr="005A5BFF">
              <w:rPr>
                <w:rFonts w:ascii="Calibri" w:eastAsia="AvenirLTStd-Light" w:hAnsi="Calibri" w:cs="AvenirLTStd-Light"/>
              </w:rPr>
              <w:t>Van onderzoekers wordt gevraagd om aios voor te lichten over</w:t>
            </w:r>
            <w:r>
              <w:rPr>
                <w:rFonts w:ascii="Calibri" w:eastAsia="AvenirLTStd-Light" w:hAnsi="Calibri" w:cs="AvenirLTStd-Light"/>
              </w:rPr>
              <w:t xml:space="preserve"> </w:t>
            </w:r>
            <w:r w:rsidRPr="005A5BFF">
              <w:rPr>
                <w:rFonts w:ascii="Calibri" w:eastAsia="AvenirLTStd-Light" w:hAnsi="Calibri" w:cs="AvenirLTStd-Light"/>
              </w:rPr>
              <w:t>de opzet en het doel van het onderzoek en ze verder zo veel mogelijk te betr</w:t>
            </w:r>
            <w:r w:rsidR="00B437BC">
              <w:rPr>
                <w:rFonts w:ascii="Calibri" w:eastAsia="AvenirLTStd-Light" w:hAnsi="Calibri" w:cs="AvenirLTStd-Light"/>
              </w:rPr>
              <w:t>ekken bij de uitvoering.</w:t>
            </w:r>
          </w:p>
        </w:tc>
        <w:tc>
          <w:tcPr>
            <w:tcW w:w="934" w:type="dxa"/>
            <w:shd w:val="pct10" w:color="auto" w:fill="auto"/>
          </w:tcPr>
          <w:p w14:paraId="6C1AA1EB" w14:textId="5B71A831" w:rsidR="00E9022E" w:rsidRPr="00914F2A" w:rsidRDefault="00872E26" w:rsidP="00D64BFA">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E9022E" w:rsidRPr="0043646A" w14:paraId="11A91FFE" w14:textId="77777777" w:rsidTr="00A83700">
        <w:trPr>
          <w:trHeight w:val="551"/>
        </w:trPr>
        <w:tc>
          <w:tcPr>
            <w:tcW w:w="9122" w:type="dxa"/>
            <w:gridSpan w:val="8"/>
            <w:tcBorders>
              <w:bottom w:val="single" w:sz="4" w:space="0" w:color="auto"/>
            </w:tcBorders>
          </w:tcPr>
          <w:p w14:paraId="4AAAB330" w14:textId="77777777" w:rsidR="00E9022E" w:rsidRPr="00914F2A" w:rsidRDefault="00E9022E" w:rsidP="00D64BFA">
            <w:pPr>
              <w:autoSpaceDE w:val="0"/>
              <w:autoSpaceDN w:val="0"/>
              <w:adjustRightInd w:val="0"/>
              <w:spacing w:after="0"/>
              <w:rPr>
                <w:rFonts w:ascii="Calibri" w:eastAsia="AvenirLTStd-Light" w:hAnsi="Calibri" w:cs="AvenirLTStd-Light"/>
              </w:rPr>
            </w:pPr>
          </w:p>
        </w:tc>
      </w:tr>
      <w:tr w:rsidR="00E9022E" w:rsidRPr="0043646A" w14:paraId="0EE27015" w14:textId="77777777" w:rsidTr="00A83700">
        <w:tc>
          <w:tcPr>
            <w:tcW w:w="1526" w:type="dxa"/>
            <w:shd w:val="pct10" w:color="auto" w:fill="auto"/>
          </w:tcPr>
          <w:p w14:paraId="203D07CD"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061039C"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04D46419"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310C030"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14A9D89E"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52E7DD72"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24273329"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E9022E" w:rsidRPr="0043646A" w14:paraId="3831CF15" w14:textId="77777777" w:rsidTr="00D64BFA">
        <w:tc>
          <w:tcPr>
            <w:tcW w:w="9122" w:type="dxa"/>
            <w:gridSpan w:val="8"/>
          </w:tcPr>
          <w:p w14:paraId="1FF29459" w14:textId="77777777" w:rsidR="00E9022E" w:rsidRPr="005B2234"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bl>
    <w:p w14:paraId="69E22DAC" w14:textId="77777777" w:rsidR="00E9022E" w:rsidRDefault="00E9022E" w:rsidP="00E902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E9022E" w:rsidRPr="00B5204D" w14:paraId="04D9EAF9" w14:textId="77777777" w:rsidTr="00D64BFA">
        <w:tc>
          <w:tcPr>
            <w:tcW w:w="9122" w:type="dxa"/>
            <w:gridSpan w:val="8"/>
            <w:shd w:val="clear" w:color="auto" w:fill="auto"/>
          </w:tcPr>
          <w:p w14:paraId="659E4C17" w14:textId="30A0B7AB" w:rsidR="00E9022E" w:rsidRPr="00B5204D" w:rsidRDefault="00E9022E" w:rsidP="00D64BFA">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Pr>
                <w:rFonts w:ascii="Calibri" w:eastAsia="AvenirLTStd-Light" w:hAnsi="Calibri" w:cs="AvenirLTStd-Light"/>
                <w:b/>
              </w:rPr>
              <w:t>2d</w:t>
            </w:r>
            <w:r w:rsidRPr="00B5204D">
              <w:rPr>
                <w:rFonts w:ascii="Calibri" w:eastAsia="AvenirLTStd-Light" w:hAnsi="Calibri" w:cs="AvenirLTStd-Light"/>
                <w:b/>
              </w:rPr>
              <w:t>.</w:t>
            </w:r>
            <w:r>
              <w:rPr>
                <w:rFonts w:ascii="Calibri" w:eastAsia="AvenirLTStd-Light" w:hAnsi="Calibri" w:cs="AvenirLTStd-Light"/>
                <w:b/>
              </w:rPr>
              <w:t>3</w:t>
            </w:r>
            <w:r w:rsidRPr="00B5204D">
              <w:rPr>
                <w:rFonts w:ascii="Calibri" w:eastAsia="AvenirLTStd-Light" w:hAnsi="Calibri" w:cs="AvenirLTStd-Light"/>
                <w:b/>
              </w:rPr>
              <w:t xml:space="preserve"> </w:t>
            </w:r>
            <w:r w:rsidRPr="00E9022E">
              <w:rPr>
                <w:rFonts w:ascii="Calibri" w:eastAsia="AvenirLTStd-Light" w:hAnsi="Calibri" w:cs="AvenirLTStd-Light"/>
                <w:b/>
              </w:rPr>
              <w:t>Betrokkenheid van onderzoekers van de afdeling bij onderwijs</w:t>
            </w:r>
            <w:r w:rsidR="00393B11">
              <w:rPr>
                <w:rFonts w:ascii="Calibri" w:eastAsia="AvenirLTStd-Light" w:hAnsi="Calibri" w:cs="AvenirLTStd-Light"/>
                <w:b/>
              </w:rPr>
              <w:t xml:space="preserve"> aan aios</w:t>
            </w:r>
          </w:p>
        </w:tc>
      </w:tr>
      <w:tr w:rsidR="00D372AA" w:rsidRPr="00D372AA" w14:paraId="19871713" w14:textId="77777777" w:rsidTr="00D64BFA">
        <w:tc>
          <w:tcPr>
            <w:tcW w:w="8188" w:type="dxa"/>
            <w:gridSpan w:val="7"/>
            <w:tcBorders>
              <w:bottom w:val="single" w:sz="4" w:space="0" w:color="auto"/>
            </w:tcBorders>
          </w:tcPr>
          <w:p w14:paraId="245CB0DE" w14:textId="17DC3B6A" w:rsidR="00D372AA" w:rsidRPr="00D372AA" w:rsidRDefault="00D372AA" w:rsidP="00D64BFA">
            <w:pPr>
              <w:autoSpaceDE w:val="0"/>
              <w:autoSpaceDN w:val="0"/>
              <w:adjustRightInd w:val="0"/>
              <w:spacing w:after="0"/>
              <w:rPr>
                <w:rFonts w:cs="Lucida Sans Unicode"/>
                <w:b/>
                <w:i/>
              </w:rPr>
            </w:pPr>
            <w:r w:rsidRPr="00D372AA">
              <w:rPr>
                <w:rFonts w:eastAsia="AvenirLTStd-Light" w:cs="AvenirLTStd-Light"/>
                <w:i/>
              </w:rPr>
              <w:t>Inzet van promovendi en overige (senior) onderzoekers als expert bij onderwijsuitvoering.</w:t>
            </w:r>
          </w:p>
        </w:tc>
        <w:tc>
          <w:tcPr>
            <w:tcW w:w="934" w:type="dxa"/>
            <w:tcBorders>
              <w:bottom w:val="single" w:sz="4" w:space="0" w:color="auto"/>
            </w:tcBorders>
          </w:tcPr>
          <w:p w14:paraId="12F9F05F" w14:textId="77777777" w:rsidR="00D372AA" w:rsidRPr="00D372AA" w:rsidRDefault="00D372AA" w:rsidP="00D64BFA">
            <w:pPr>
              <w:autoSpaceDE w:val="0"/>
              <w:autoSpaceDN w:val="0"/>
              <w:adjustRightInd w:val="0"/>
              <w:spacing w:after="0"/>
              <w:jc w:val="right"/>
              <w:rPr>
                <w:rFonts w:cs="Lucida Sans Unicode"/>
                <w:b/>
                <w:i/>
              </w:rPr>
            </w:pPr>
          </w:p>
        </w:tc>
      </w:tr>
      <w:tr w:rsidR="00E9022E" w:rsidRPr="0043646A" w14:paraId="23CF3277" w14:textId="77777777" w:rsidTr="00A83700">
        <w:tc>
          <w:tcPr>
            <w:tcW w:w="8188" w:type="dxa"/>
            <w:gridSpan w:val="7"/>
            <w:shd w:val="pct10" w:color="auto" w:fill="auto"/>
          </w:tcPr>
          <w:p w14:paraId="75BD1AD7" w14:textId="5B06FB2A" w:rsidR="00E9022E" w:rsidRPr="00E9022E" w:rsidRDefault="00E9022E" w:rsidP="00E9022E">
            <w:pPr>
              <w:pStyle w:val="Lijstalinea"/>
              <w:numPr>
                <w:ilvl w:val="0"/>
                <w:numId w:val="6"/>
              </w:numPr>
              <w:autoSpaceDE w:val="0"/>
              <w:autoSpaceDN w:val="0"/>
              <w:adjustRightInd w:val="0"/>
              <w:spacing w:after="0" w:line="240" w:lineRule="auto"/>
              <w:rPr>
                <w:rFonts w:ascii="Calibri" w:eastAsia="AvenirLTStd-Light" w:hAnsi="Calibri" w:cs="AvenirLTStd-Light"/>
              </w:rPr>
            </w:pPr>
            <w:r w:rsidRPr="00E9022E">
              <w:rPr>
                <w:rFonts w:ascii="Calibri" w:eastAsia="AvenirLTStd-Light" w:hAnsi="Calibri" w:cs="AvenirLTStd-Light"/>
              </w:rPr>
              <w:t>Promovendi of senior onderzoekers van de afdeling worden incidenteel betrokken als expert bij</w:t>
            </w:r>
            <w:r w:rsidR="00B437BC">
              <w:rPr>
                <w:rFonts w:ascii="Calibri" w:eastAsia="AvenirLTStd-Light" w:hAnsi="Calibri" w:cs="AvenirLTStd-Light"/>
              </w:rPr>
              <w:t xml:space="preserve"> het onderwijs aan aios</w:t>
            </w:r>
            <w:r w:rsidRPr="00E9022E">
              <w:rPr>
                <w:rFonts w:ascii="Calibri" w:eastAsia="AvenirLTStd-Light" w:hAnsi="Calibri" w:cs="AvenirLTStd-Light"/>
              </w:rPr>
              <w:t>.</w:t>
            </w:r>
          </w:p>
        </w:tc>
        <w:tc>
          <w:tcPr>
            <w:tcW w:w="934" w:type="dxa"/>
            <w:shd w:val="pct10" w:color="auto" w:fill="auto"/>
          </w:tcPr>
          <w:p w14:paraId="72BBA5A9" w14:textId="324E4003" w:rsidR="00E9022E" w:rsidRPr="00914F2A" w:rsidRDefault="00872E26"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E9022E" w:rsidRPr="0043646A" w14:paraId="65D02455" w14:textId="77777777" w:rsidTr="00A83700">
        <w:trPr>
          <w:trHeight w:val="938"/>
        </w:trPr>
        <w:tc>
          <w:tcPr>
            <w:tcW w:w="9122" w:type="dxa"/>
            <w:gridSpan w:val="8"/>
            <w:tcBorders>
              <w:bottom w:val="single" w:sz="4" w:space="0" w:color="auto"/>
            </w:tcBorders>
          </w:tcPr>
          <w:p w14:paraId="5ECFD2A0" w14:textId="77777777" w:rsidR="00E9022E" w:rsidRPr="00914F2A" w:rsidRDefault="00E9022E" w:rsidP="00D64BFA">
            <w:pPr>
              <w:autoSpaceDE w:val="0"/>
              <w:autoSpaceDN w:val="0"/>
              <w:adjustRightInd w:val="0"/>
              <w:spacing w:after="0"/>
              <w:rPr>
                <w:rFonts w:ascii="Calibri" w:eastAsia="AvenirLTStd-Light" w:hAnsi="Calibri" w:cs="AvenirLTStd-Light"/>
              </w:rPr>
            </w:pPr>
          </w:p>
        </w:tc>
      </w:tr>
      <w:tr w:rsidR="00E9022E" w:rsidRPr="0043646A" w14:paraId="0AB9D779" w14:textId="77777777" w:rsidTr="00A83700">
        <w:tc>
          <w:tcPr>
            <w:tcW w:w="1526" w:type="dxa"/>
            <w:shd w:val="pct10" w:color="auto" w:fill="auto"/>
          </w:tcPr>
          <w:p w14:paraId="7D0EB368"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38059784"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49926ACF"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1186876"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06C2180"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F4E12E6"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7137F4DE"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E9022E" w:rsidRPr="0043646A" w14:paraId="5E84D2B5" w14:textId="77777777" w:rsidTr="00A83700">
        <w:tc>
          <w:tcPr>
            <w:tcW w:w="9122" w:type="dxa"/>
            <w:gridSpan w:val="8"/>
            <w:tcBorders>
              <w:bottom w:val="single" w:sz="4" w:space="0" w:color="auto"/>
            </w:tcBorders>
          </w:tcPr>
          <w:p w14:paraId="168BE2F3" w14:textId="77777777" w:rsidR="00E9022E"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0F8E3B47" w14:textId="77777777" w:rsidR="00E9022E" w:rsidRPr="005A198C" w:rsidRDefault="00E9022E" w:rsidP="00D64BFA">
            <w:pPr>
              <w:autoSpaceDE w:val="0"/>
              <w:autoSpaceDN w:val="0"/>
              <w:adjustRightInd w:val="0"/>
              <w:spacing w:after="0"/>
              <w:rPr>
                <w:rFonts w:ascii="Calibri" w:eastAsia="AvenirLTStd-Light" w:hAnsi="Calibri" w:cs="AvenirLTStd-Light"/>
              </w:rPr>
            </w:pPr>
          </w:p>
        </w:tc>
      </w:tr>
      <w:tr w:rsidR="00E9022E" w:rsidRPr="0043646A" w14:paraId="3406049C" w14:textId="77777777" w:rsidTr="00A83700">
        <w:tc>
          <w:tcPr>
            <w:tcW w:w="8188" w:type="dxa"/>
            <w:gridSpan w:val="7"/>
            <w:shd w:val="pct10" w:color="auto" w:fill="auto"/>
          </w:tcPr>
          <w:p w14:paraId="28944146" w14:textId="4964D9B9" w:rsidR="00E9022E" w:rsidRPr="00E9022E" w:rsidRDefault="00E9022E" w:rsidP="00E9022E">
            <w:pPr>
              <w:pStyle w:val="Lijstalinea"/>
              <w:numPr>
                <w:ilvl w:val="0"/>
                <w:numId w:val="6"/>
              </w:numPr>
              <w:autoSpaceDE w:val="0"/>
              <w:autoSpaceDN w:val="0"/>
              <w:adjustRightInd w:val="0"/>
              <w:spacing w:after="0" w:line="240" w:lineRule="auto"/>
              <w:rPr>
                <w:rFonts w:ascii="Calibri" w:eastAsia="AvenirLTStd-Light" w:hAnsi="Calibri" w:cs="AvenirLTStd-Light"/>
              </w:rPr>
            </w:pPr>
            <w:r w:rsidRPr="00E9022E">
              <w:rPr>
                <w:rFonts w:ascii="Calibri" w:eastAsia="AvenirLTStd-Light" w:hAnsi="Calibri" w:cs="AvenirLTStd-Light"/>
              </w:rPr>
              <w:t>Promovendi worden structureel betrokken bij de ontwikkeling en u</w:t>
            </w:r>
            <w:r w:rsidR="00B437BC">
              <w:rPr>
                <w:rFonts w:ascii="Calibri" w:eastAsia="AvenirLTStd-Light" w:hAnsi="Calibri" w:cs="AvenirLTStd-Light"/>
              </w:rPr>
              <w:t xml:space="preserve">itvoering van </w:t>
            </w:r>
            <w:r w:rsidR="003B0473">
              <w:rPr>
                <w:rFonts w:ascii="Calibri" w:eastAsia="AvenirLTStd-Light" w:hAnsi="Calibri" w:cs="AvenirLTStd-Light"/>
              </w:rPr>
              <w:t xml:space="preserve">relevant </w:t>
            </w:r>
            <w:r w:rsidR="00B437BC">
              <w:rPr>
                <w:rFonts w:ascii="Calibri" w:eastAsia="AvenirLTStd-Light" w:hAnsi="Calibri" w:cs="AvenirLTStd-Light"/>
              </w:rPr>
              <w:t>onderwijs</w:t>
            </w:r>
            <w:r w:rsidRPr="00E9022E">
              <w:rPr>
                <w:rFonts w:ascii="Calibri" w:eastAsia="AvenirLTStd-Light" w:hAnsi="Calibri" w:cs="AvenirLTStd-Light"/>
              </w:rPr>
              <w:t>.</w:t>
            </w:r>
          </w:p>
        </w:tc>
        <w:tc>
          <w:tcPr>
            <w:tcW w:w="934" w:type="dxa"/>
            <w:shd w:val="pct10" w:color="auto" w:fill="auto"/>
          </w:tcPr>
          <w:p w14:paraId="5A98D3E6" w14:textId="7EFA6F41" w:rsidR="00E9022E" w:rsidRPr="00914F2A" w:rsidRDefault="00872E26" w:rsidP="00D64BFA">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E9022E" w:rsidRPr="0043646A" w14:paraId="1A17915B" w14:textId="77777777" w:rsidTr="00A83700">
        <w:trPr>
          <w:trHeight w:val="551"/>
        </w:trPr>
        <w:tc>
          <w:tcPr>
            <w:tcW w:w="9122" w:type="dxa"/>
            <w:gridSpan w:val="8"/>
            <w:tcBorders>
              <w:bottom w:val="single" w:sz="4" w:space="0" w:color="auto"/>
            </w:tcBorders>
          </w:tcPr>
          <w:p w14:paraId="65EB9748" w14:textId="77777777" w:rsidR="00E9022E" w:rsidRPr="00914F2A" w:rsidRDefault="00E9022E" w:rsidP="00D64BFA">
            <w:pPr>
              <w:autoSpaceDE w:val="0"/>
              <w:autoSpaceDN w:val="0"/>
              <w:adjustRightInd w:val="0"/>
              <w:spacing w:after="0"/>
              <w:rPr>
                <w:rFonts w:ascii="Calibri" w:eastAsia="AvenirLTStd-Light" w:hAnsi="Calibri" w:cs="AvenirLTStd-Light"/>
              </w:rPr>
            </w:pPr>
          </w:p>
        </w:tc>
      </w:tr>
      <w:tr w:rsidR="00E9022E" w:rsidRPr="0043646A" w14:paraId="0E2E1B06" w14:textId="77777777" w:rsidTr="00A83700">
        <w:tc>
          <w:tcPr>
            <w:tcW w:w="1526" w:type="dxa"/>
            <w:shd w:val="pct10" w:color="auto" w:fill="auto"/>
          </w:tcPr>
          <w:p w14:paraId="15300EA0"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FADDD4C"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C0FB041"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00E9B35D"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2092B31B"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36EDCEC1"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5C218D14"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E9022E" w:rsidRPr="0043646A" w14:paraId="473EEC10" w14:textId="77777777" w:rsidTr="00A83700">
        <w:tc>
          <w:tcPr>
            <w:tcW w:w="9122" w:type="dxa"/>
            <w:gridSpan w:val="8"/>
            <w:tcBorders>
              <w:bottom w:val="single" w:sz="4" w:space="0" w:color="auto"/>
            </w:tcBorders>
          </w:tcPr>
          <w:p w14:paraId="19CF7818" w14:textId="77777777" w:rsidR="00E9022E" w:rsidRPr="005B2234"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E9022E" w:rsidRPr="0043646A" w14:paraId="2431A5DF" w14:textId="77777777" w:rsidTr="00A83700">
        <w:tc>
          <w:tcPr>
            <w:tcW w:w="8188" w:type="dxa"/>
            <w:gridSpan w:val="7"/>
            <w:shd w:val="pct10" w:color="auto" w:fill="auto"/>
          </w:tcPr>
          <w:p w14:paraId="53F2F641" w14:textId="7B5B8C9F" w:rsidR="00E9022E" w:rsidRPr="00E9022E" w:rsidRDefault="00E9022E" w:rsidP="00E9022E">
            <w:pPr>
              <w:pStyle w:val="Lijstalinea"/>
              <w:numPr>
                <w:ilvl w:val="0"/>
                <w:numId w:val="6"/>
              </w:numPr>
              <w:autoSpaceDE w:val="0"/>
              <w:autoSpaceDN w:val="0"/>
              <w:adjustRightInd w:val="0"/>
              <w:spacing w:after="0"/>
              <w:rPr>
                <w:rFonts w:ascii="Calibri" w:eastAsia="AvenirLTStd-Light" w:hAnsi="Calibri" w:cs="AvenirLTStd-Light"/>
              </w:rPr>
            </w:pPr>
            <w:r w:rsidRPr="00E9022E">
              <w:rPr>
                <w:rFonts w:ascii="Calibri" w:eastAsia="AvenirLTStd-Light" w:hAnsi="Calibri" w:cs="AvenirLTStd-Light"/>
              </w:rPr>
              <w:t>(Senior) onderzoekers worden structureel betr</w:t>
            </w:r>
            <w:r w:rsidR="00B437BC">
              <w:rPr>
                <w:rFonts w:ascii="Calibri" w:eastAsia="AvenirLTStd-Light" w:hAnsi="Calibri" w:cs="AvenirLTStd-Light"/>
              </w:rPr>
              <w:t>okken bij het onderwijs</w:t>
            </w:r>
            <w:r w:rsidRPr="00E9022E">
              <w:rPr>
                <w:rFonts w:ascii="Calibri" w:eastAsia="AvenirLTStd-Light" w:hAnsi="Calibri" w:cs="AvenirLTStd-Light"/>
              </w:rPr>
              <w:t>.</w:t>
            </w:r>
          </w:p>
        </w:tc>
        <w:tc>
          <w:tcPr>
            <w:tcW w:w="934" w:type="dxa"/>
            <w:shd w:val="pct10" w:color="auto" w:fill="auto"/>
          </w:tcPr>
          <w:p w14:paraId="2ADE10A7" w14:textId="688B0B58" w:rsidR="00E9022E" w:rsidRPr="00914F2A" w:rsidRDefault="00872E26" w:rsidP="00D64BFA">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E9022E" w:rsidRPr="0043646A" w14:paraId="00176079" w14:textId="77777777" w:rsidTr="00A83700">
        <w:trPr>
          <w:trHeight w:val="551"/>
        </w:trPr>
        <w:tc>
          <w:tcPr>
            <w:tcW w:w="9122" w:type="dxa"/>
            <w:gridSpan w:val="8"/>
            <w:tcBorders>
              <w:bottom w:val="single" w:sz="4" w:space="0" w:color="auto"/>
            </w:tcBorders>
          </w:tcPr>
          <w:p w14:paraId="1FB50F44" w14:textId="77777777" w:rsidR="00E9022E" w:rsidRPr="00914F2A" w:rsidRDefault="00E9022E" w:rsidP="00D64BFA">
            <w:pPr>
              <w:autoSpaceDE w:val="0"/>
              <w:autoSpaceDN w:val="0"/>
              <w:adjustRightInd w:val="0"/>
              <w:spacing w:after="0"/>
              <w:rPr>
                <w:rFonts w:ascii="Calibri" w:eastAsia="AvenirLTStd-Light" w:hAnsi="Calibri" w:cs="AvenirLTStd-Light"/>
              </w:rPr>
            </w:pPr>
          </w:p>
        </w:tc>
      </w:tr>
      <w:tr w:rsidR="00E9022E" w:rsidRPr="0043646A" w14:paraId="623CD6DD" w14:textId="77777777" w:rsidTr="00A83700">
        <w:tc>
          <w:tcPr>
            <w:tcW w:w="1526" w:type="dxa"/>
            <w:shd w:val="pct10" w:color="auto" w:fill="auto"/>
          </w:tcPr>
          <w:p w14:paraId="1BDCC159"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7EF2406E"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2E9EC648"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C29779F"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DDEE2D4"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6AB0D793"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1D4B0649"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E9022E" w:rsidRPr="0043646A" w14:paraId="06C093FC" w14:textId="77777777" w:rsidTr="00D64BFA">
        <w:tc>
          <w:tcPr>
            <w:tcW w:w="9122" w:type="dxa"/>
            <w:gridSpan w:val="8"/>
          </w:tcPr>
          <w:p w14:paraId="530BCCE7" w14:textId="77777777" w:rsidR="00E9022E" w:rsidRPr="005B2234"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bl>
    <w:p w14:paraId="24F9EAC3" w14:textId="77777777" w:rsidR="00E9022E" w:rsidRDefault="00E902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E9022E" w:rsidRPr="00605096" w14:paraId="3C228430" w14:textId="77777777" w:rsidTr="00D64BFA">
        <w:tc>
          <w:tcPr>
            <w:tcW w:w="9122" w:type="dxa"/>
            <w:gridSpan w:val="8"/>
            <w:shd w:val="clear" w:color="auto" w:fill="auto"/>
          </w:tcPr>
          <w:p w14:paraId="562A9EFF" w14:textId="77777777" w:rsidR="00E9022E" w:rsidRPr="00E9022E" w:rsidRDefault="00E9022E" w:rsidP="00D64BFA">
            <w:pPr>
              <w:autoSpaceDE w:val="0"/>
              <w:autoSpaceDN w:val="0"/>
              <w:adjustRightInd w:val="0"/>
              <w:spacing w:after="0"/>
              <w:rPr>
                <w:rFonts w:ascii="Calibri" w:eastAsia="AvenirLTStd-Light" w:hAnsi="Calibri" w:cs="AvenirLTStd-Light"/>
                <w:b/>
                <w:lang w:val="en-US"/>
              </w:rPr>
            </w:pPr>
            <w:r w:rsidRPr="00E9022E">
              <w:rPr>
                <w:rFonts w:ascii="Calibri" w:eastAsia="AvenirLTStd-Light" w:hAnsi="Calibri" w:cs="AvenirLTStd-Light"/>
                <w:color w:val="000000"/>
                <w:lang w:val="en-US"/>
              </w:rPr>
              <w:br w:type="page"/>
            </w:r>
            <w:r w:rsidRPr="00E9022E">
              <w:rPr>
                <w:rFonts w:ascii="Calibri" w:eastAsia="AvenirLTStd-Light" w:hAnsi="Calibri" w:cs="AvenirLTStd-Light"/>
                <w:b/>
                <w:lang w:val="en-US"/>
              </w:rPr>
              <w:t xml:space="preserve">2d.4 </w:t>
            </w:r>
            <w:r w:rsidRPr="00E9022E">
              <w:rPr>
                <w:rFonts w:ascii="Calibri" w:eastAsia="AvenirLTStd-Light" w:hAnsi="Calibri" w:cs="AvenirLTStd-Light"/>
                <w:b/>
                <w:lang w:val="en-GB"/>
              </w:rPr>
              <w:t>Evidence based practise in opleidingsperiodes</w:t>
            </w:r>
          </w:p>
        </w:tc>
      </w:tr>
      <w:tr w:rsidR="00D372AA" w:rsidRPr="00D372AA" w14:paraId="0F41FB51" w14:textId="77777777" w:rsidTr="00D64BFA">
        <w:tc>
          <w:tcPr>
            <w:tcW w:w="8188" w:type="dxa"/>
            <w:gridSpan w:val="7"/>
            <w:tcBorders>
              <w:bottom w:val="single" w:sz="4" w:space="0" w:color="auto"/>
            </w:tcBorders>
          </w:tcPr>
          <w:p w14:paraId="3F67083F" w14:textId="3A49EB0A" w:rsidR="00D372AA" w:rsidRPr="00D372AA" w:rsidRDefault="00D372AA" w:rsidP="00D64BFA">
            <w:pPr>
              <w:autoSpaceDE w:val="0"/>
              <w:autoSpaceDN w:val="0"/>
              <w:adjustRightInd w:val="0"/>
              <w:spacing w:after="0"/>
              <w:rPr>
                <w:rFonts w:cs="Lucida Sans Unicode"/>
                <w:b/>
                <w:i/>
              </w:rPr>
            </w:pPr>
            <w:r w:rsidRPr="00D372AA">
              <w:rPr>
                <w:rFonts w:eastAsia="AvenirLTStd-Light" w:cs="AvenirLTStd-Light"/>
                <w:i/>
              </w:rPr>
              <w:t>Oordeel van de aios over de mate waarin de opleider richtlijnen en gegevens uit wetenschappelijk onderzoek integreert in de begeleiding aan de aios.</w:t>
            </w:r>
          </w:p>
        </w:tc>
        <w:tc>
          <w:tcPr>
            <w:tcW w:w="934" w:type="dxa"/>
            <w:tcBorders>
              <w:bottom w:val="single" w:sz="4" w:space="0" w:color="auto"/>
            </w:tcBorders>
          </w:tcPr>
          <w:p w14:paraId="6EB42024" w14:textId="77777777" w:rsidR="00D372AA" w:rsidRPr="00D372AA" w:rsidRDefault="00D372AA" w:rsidP="00D64BFA">
            <w:pPr>
              <w:autoSpaceDE w:val="0"/>
              <w:autoSpaceDN w:val="0"/>
              <w:adjustRightInd w:val="0"/>
              <w:spacing w:after="0"/>
              <w:jc w:val="right"/>
              <w:rPr>
                <w:rFonts w:cs="Lucida Sans Unicode"/>
                <w:b/>
                <w:i/>
              </w:rPr>
            </w:pPr>
          </w:p>
        </w:tc>
      </w:tr>
      <w:tr w:rsidR="00E9022E" w:rsidRPr="00914F2A" w14:paraId="1A4B0FD5" w14:textId="77777777" w:rsidTr="00A83700">
        <w:tc>
          <w:tcPr>
            <w:tcW w:w="8188" w:type="dxa"/>
            <w:gridSpan w:val="7"/>
            <w:tcBorders>
              <w:bottom w:val="single" w:sz="4" w:space="0" w:color="auto"/>
            </w:tcBorders>
          </w:tcPr>
          <w:p w14:paraId="29843117" w14:textId="77777777" w:rsidR="00E9022E" w:rsidRPr="00914F2A" w:rsidRDefault="00E9022E" w:rsidP="00D64BFA">
            <w:pPr>
              <w:autoSpaceDE w:val="0"/>
              <w:autoSpaceDN w:val="0"/>
              <w:adjustRightInd w:val="0"/>
              <w:spacing w:after="0"/>
              <w:rPr>
                <w:rFonts w:ascii="Calibri" w:hAnsi="Calibri" w:cs="Lucida Sans Unicode"/>
                <w:b/>
              </w:rPr>
            </w:pPr>
            <w:r>
              <w:rPr>
                <w:rFonts w:ascii="Calibri" w:eastAsia="AvenirLTStd-Light" w:hAnsi="Calibri"/>
                <w:b/>
              </w:rPr>
              <w:t>Totaalscore</w:t>
            </w:r>
          </w:p>
        </w:tc>
        <w:tc>
          <w:tcPr>
            <w:tcW w:w="934" w:type="dxa"/>
            <w:tcBorders>
              <w:bottom w:val="single" w:sz="4" w:space="0" w:color="auto"/>
            </w:tcBorders>
          </w:tcPr>
          <w:p w14:paraId="4F5C12D3" w14:textId="77777777" w:rsidR="00E9022E" w:rsidRPr="00914F2A" w:rsidRDefault="00E9022E" w:rsidP="00D64BFA">
            <w:pPr>
              <w:autoSpaceDE w:val="0"/>
              <w:autoSpaceDN w:val="0"/>
              <w:adjustRightInd w:val="0"/>
              <w:spacing w:after="0"/>
              <w:jc w:val="right"/>
              <w:rPr>
                <w:rFonts w:ascii="Calibri" w:hAnsi="Calibri" w:cs="Lucida Sans Unicode"/>
                <w:b/>
              </w:rPr>
            </w:pPr>
          </w:p>
        </w:tc>
      </w:tr>
      <w:tr w:rsidR="00E9022E" w:rsidRPr="00914F2A" w14:paraId="51605100" w14:textId="77777777" w:rsidTr="00A83700">
        <w:tc>
          <w:tcPr>
            <w:tcW w:w="8188" w:type="dxa"/>
            <w:gridSpan w:val="7"/>
            <w:shd w:val="pct10" w:color="auto" w:fill="auto"/>
          </w:tcPr>
          <w:p w14:paraId="4CAB166D" w14:textId="25D049B2" w:rsidR="00E9022E" w:rsidRPr="00E9022E" w:rsidRDefault="00E9022E" w:rsidP="00E9022E">
            <w:pPr>
              <w:rPr>
                <w:rFonts w:ascii="Calibri" w:eastAsia="AvenirLTStd-Light" w:hAnsi="Calibri" w:cs="AvenirLTStd-Light"/>
              </w:rPr>
            </w:pPr>
            <w:r w:rsidRPr="00E9022E">
              <w:rPr>
                <w:rFonts w:ascii="Calibri" w:eastAsia="AvenirLTStd-Light" w:hAnsi="Calibri" w:cs="AvenirLTStd-Light"/>
              </w:rPr>
              <w:t xml:space="preserve">Geef </w:t>
            </w:r>
            <w:r w:rsidR="00B437BC">
              <w:rPr>
                <w:rFonts w:ascii="Calibri" w:eastAsia="AvenirLTStd-Light" w:hAnsi="Calibri" w:cs="AvenirLTStd-Light"/>
              </w:rPr>
              <w:t>een reflectie met behulp van onderstaande</w:t>
            </w:r>
            <w:r w:rsidRPr="00E9022E">
              <w:rPr>
                <w:rFonts w:ascii="Calibri" w:eastAsia="AvenirLTStd-Light" w:hAnsi="Calibri" w:cs="AvenirLTStd-Light"/>
              </w:rPr>
              <w:t xml:space="preserve">: </w:t>
            </w:r>
          </w:p>
          <w:p w14:paraId="5A882857" w14:textId="4B516071" w:rsidR="00E9022E" w:rsidRPr="00E9022E" w:rsidRDefault="00B437BC" w:rsidP="00E9022E">
            <w:pPr>
              <w:rPr>
                <w:rFonts w:ascii="Calibri" w:eastAsia="AvenirLTStd-Light" w:hAnsi="Calibri" w:cs="AvenirLTStd-Light"/>
              </w:rPr>
            </w:pPr>
            <w:r>
              <w:rPr>
                <w:rFonts w:ascii="Calibri" w:eastAsia="AvenirLTStd-Light" w:hAnsi="Calibri" w:cs="AvenirLTStd-Light"/>
              </w:rPr>
              <w:t xml:space="preserve">- </w:t>
            </w:r>
            <w:r w:rsidR="00E9022E" w:rsidRPr="00E9022E">
              <w:rPr>
                <w:rFonts w:ascii="Calibri" w:eastAsia="AvenirLTStd-Light" w:hAnsi="Calibri" w:cs="AvenirLTStd-Light"/>
              </w:rPr>
              <w:t>Scores voor subitem 12 uit de CC</w:t>
            </w:r>
            <w:r>
              <w:rPr>
                <w:rFonts w:ascii="Calibri" w:eastAsia="AvenirLTStd-Light" w:hAnsi="Calibri" w:cs="AvenirLTStd-Light"/>
              </w:rPr>
              <w:t>TEI in NIVEL. Streefscore &gt;50%</w:t>
            </w:r>
          </w:p>
          <w:p w14:paraId="34807C28" w14:textId="2B8C9589" w:rsidR="00E9022E" w:rsidRPr="009A66FD" w:rsidRDefault="009A66FD" w:rsidP="00B437BC">
            <w:pPr>
              <w:autoSpaceDE w:val="0"/>
              <w:autoSpaceDN w:val="0"/>
              <w:adjustRightInd w:val="0"/>
              <w:spacing w:after="0" w:line="240" w:lineRule="auto"/>
              <w:rPr>
                <w:rFonts w:ascii="Calibri" w:eastAsia="AvenirLTStd-Light" w:hAnsi="Calibri" w:cs="AvenirLTStd-Light"/>
              </w:rPr>
            </w:pPr>
            <w:r>
              <w:rPr>
                <w:rFonts w:ascii="Calibri" w:eastAsia="AvenirLTStd-Light" w:hAnsi="Calibri" w:cs="AvenirLTStd-Light"/>
              </w:rPr>
              <w:t>-</w:t>
            </w:r>
            <w:r w:rsidR="00E9022E" w:rsidRPr="009A66FD">
              <w:rPr>
                <w:rFonts w:ascii="Calibri" w:eastAsia="AvenirLTStd-Light" w:hAnsi="Calibri" w:cs="AvenirLTStd-Light"/>
              </w:rPr>
              <w:t>EBM is onderdeel van jaarlijkse gesprekken tussen opleider en hoofd</w:t>
            </w:r>
          </w:p>
        </w:tc>
        <w:tc>
          <w:tcPr>
            <w:tcW w:w="934" w:type="dxa"/>
            <w:shd w:val="pct10" w:color="auto" w:fill="auto"/>
          </w:tcPr>
          <w:p w14:paraId="4027C93F" w14:textId="393F1D0A" w:rsidR="00E9022E" w:rsidRPr="00914F2A" w:rsidRDefault="00872E26"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E9022E" w:rsidRPr="00914F2A" w14:paraId="45C2800E" w14:textId="77777777" w:rsidTr="00A83700">
        <w:trPr>
          <w:trHeight w:val="938"/>
        </w:trPr>
        <w:tc>
          <w:tcPr>
            <w:tcW w:w="9122" w:type="dxa"/>
            <w:gridSpan w:val="8"/>
            <w:tcBorders>
              <w:bottom w:val="single" w:sz="4" w:space="0" w:color="auto"/>
            </w:tcBorders>
          </w:tcPr>
          <w:p w14:paraId="7710420A" w14:textId="77777777" w:rsidR="00E9022E" w:rsidRPr="00914F2A" w:rsidRDefault="00E9022E" w:rsidP="00D64BFA">
            <w:pPr>
              <w:autoSpaceDE w:val="0"/>
              <w:autoSpaceDN w:val="0"/>
              <w:adjustRightInd w:val="0"/>
              <w:spacing w:after="0"/>
              <w:rPr>
                <w:rFonts w:ascii="Calibri" w:eastAsia="AvenirLTStd-Light" w:hAnsi="Calibri" w:cs="AvenirLTStd-Light"/>
              </w:rPr>
            </w:pPr>
          </w:p>
        </w:tc>
      </w:tr>
      <w:tr w:rsidR="00E9022E" w:rsidRPr="00ED4477" w14:paraId="25CF8ED2" w14:textId="77777777" w:rsidTr="00A83700">
        <w:tc>
          <w:tcPr>
            <w:tcW w:w="1526" w:type="dxa"/>
            <w:shd w:val="pct10" w:color="auto" w:fill="auto"/>
          </w:tcPr>
          <w:p w14:paraId="51B76DD4"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04FD4891"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03D5A165"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59D5471"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6FBD4818"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B83A0C7"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13BBC70A" w14:textId="77777777" w:rsidR="00E9022E" w:rsidRPr="00ED4477"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E9022E" w:rsidRPr="005A198C" w14:paraId="4E4E6F5D" w14:textId="77777777" w:rsidTr="00D64BFA">
        <w:tc>
          <w:tcPr>
            <w:tcW w:w="9122" w:type="dxa"/>
            <w:gridSpan w:val="8"/>
          </w:tcPr>
          <w:p w14:paraId="26A6CD02" w14:textId="77777777" w:rsidR="00E9022E" w:rsidRDefault="00E9022E" w:rsidP="00D64BFA">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68137A79" w14:textId="77777777" w:rsidR="00E9022E" w:rsidRPr="005A198C" w:rsidRDefault="00E9022E" w:rsidP="00D64BFA">
            <w:pPr>
              <w:autoSpaceDE w:val="0"/>
              <w:autoSpaceDN w:val="0"/>
              <w:adjustRightInd w:val="0"/>
              <w:spacing w:after="0"/>
              <w:rPr>
                <w:rFonts w:ascii="Calibri" w:eastAsia="AvenirLTStd-Light" w:hAnsi="Calibri" w:cs="AvenirLTStd-Light"/>
              </w:rPr>
            </w:pPr>
          </w:p>
        </w:tc>
      </w:tr>
    </w:tbl>
    <w:p w14:paraId="321322D8" w14:textId="77777777" w:rsidR="0053359F" w:rsidRDefault="0053359F"/>
    <w:sectPr w:rsidR="0053359F" w:rsidSect="00AC1069">
      <w:headerReference w:type="default" r:id="rId9"/>
      <w:footerReference w:type="even" r:id="rId10"/>
      <w:footerReference w:type="default" r:id="rId11"/>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03A5" w14:textId="77777777" w:rsidR="00276F82" w:rsidRDefault="00276F82" w:rsidP="006E680D">
      <w:pPr>
        <w:spacing w:after="0" w:line="240" w:lineRule="auto"/>
      </w:pPr>
      <w:r>
        <w:separator/>
      </w:r>
    </w:p>
  </w:endnote>
  <w:endnote w:type="continuationSeparator" w:id="0">
    <w:p w14:paraId="5951DD15" w14:textId="77777777" w:rsidR="00276F82" w:rsidRDefault="00276F82" w:rsidP="006E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enirLTStd-Light">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LTStd-Medium">
    <w:altName w:val="Cambria"/>
    <w:panose1 w:val="00000000000000000000"/>
    <w:charset w:val="00"/>
    <w:family w:val="swiss"/>
    <w:notTrueType/>
    <w:pitch w:val="default"/>
    <w:sig w:usb0="00000003" w:usb1="00000000" w:usb2="00000000" w:usb3="00000000" w:csb0="00000001" w:csb1="00000000"/>
  </w:font>
  <w:font w:name="AvenirLTStd-Heavy">
    <w:altName w:val="Cambri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05B3" w14:textId="77777777" w:rsidR="00D64BFA" w:rsidRDefault="00D64BFA" w:rsidP="00D64B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B19698" w14:textId="77777777" w:rsidR="00D64BFA" w:rsidRDefault="00D64BFA" w:rsidP="00E44F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C61A" w14:textId="29151569" w:rsidR="00D64BFA" w:rsidRDefault="00D64BFA" w:rsidP="00D64B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B1984">
      <w:rPr>
        <w:rStyle w:val="Paginanummer"/>
        <w:noProof/>
      </w:rPr>
      <w:t>13</w:t>
    </w:r>
    <w:r>
      <w:rPr>
        <w:rStyle w:val="Paginanummer"/>
      </w:rPr>
      <w:fldChar w:fldCharType="end"/>
    </w:r>
  </w:p>
  <w:p w14:paraId="075383ED" w14:textId="457D83BC" w:rsidR="00D64BFA" w:rsidRPr="006B76D1" w:rsidRDefault="00D64BFA" w:rsidP="00E44FC4">
    <w:pPr>
      <w:pStyle w:val="Voettekst"/>
      <w:ind w:right="360"/>
      <w:rPr>
        <w:i/>
        <w:sz w:val="20"/>
      </w:rPr>
    </w:pPr>
    <w:r w:rsidRPr="006B76D1">
      <w:rPr>
        <w:i/>
        <w:sz w:val="20"/>
      </w:rPr>
      <w:t xml:space="preserve">Metis Reflectiedocument domein 2 – </w:t>
    </w:r>
    <w:r w:rsidR="00605096" w:rsidRPr="006B76D1">
      <w:rPr>
        <w:i/>
        <w:sz w:val="20"/>
      </w:rPr>
      <w:t xml:space="preserve">juli </w:t>
    </w:r>
    <w:r w:rsidRPr="006B76D1">
      <w:rPr>
        <w:i/>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DD4FE" w14:textId="77777777" w:rsidR="00276F82" w:rsidRDefault="00276F82" w:rsidP="006E680D">
      <w:pPr>
        <w:spacing w:after="0" w:line="240" w:lineRule="auto"/>
      </w:pPr>
      <w:r>
        <w:separator/>
      </w:r>
    </w:p>
  </w:footnote>
  <w:footnote w:type="continuationSeparator" w:id="0">
    <w:p w14:paraId="7E6D21A4" w14:textId="77777777" w:rsidR="00276F82" w:rsidRDefault="00276F82" w:rsidP="006E6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D34B" w14:textId="77777777" w:rsidR="003B1984" w:rsidRPr="008172FB" w:rsidRDefault="003B1984" w:rsidP="003B1984">
    <w:pPr>
      <w:pStyle w:val="Koptekst"/>
    </w:pPr>
    <w:r w:rsidRPr="008172FB">
      <w:t>[Plaats hier het instituut/organisatie beeldmerk]</w:t>
    </w:r>
  </w:p>
  <w:p w14:paraId="5E72CA35" w14:textId="77777777" w:rsidR="003B1984" w:rsidRDefault="003B19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0E8"/>
    <w:multiLevelType w:val="hybridMultilevel"/>
    <w:tmpl w:val="5F9C4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7A73DE"/>
    <w:multiLevelType w:val="hybridMultilevel"/>
    <w:tmpl w:val="9B56DB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ADC1EA3"/>
    <w:multiLevelType w:val="hybridMultilevel"/>
    <w:tmpl w:val="435ECDC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9E8558E"/>
    <w:multiLevelType w:val="hybridMultilevel"/>
    <w:tmpl w:val="CD4ED3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9119BC"/>
    <w:multiLevelType w:val="hybridMultilevel"/>
    <w:tmpl w:val="CA28F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EE1F1C"/>
    <w:multiLevelType w:val="hybridMultilevel"/>
    <w:tmpl w:val="360E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E66961"/>
    <w:multiLevelType w:val="hybridMultilevel"/>
    <w:tmpl w:val="FFB2EE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D8A7BB2"/>
    <w:multiLevelType w:val="hybridMultilevel"/>
    <w:tmpl w:val="93440C5C"/>
    <w:lvl w:ilvl="0" w:tplc="5D5AAB8C">
      <w:start w:val="1"/>
      <w:numFmt w:val="lowerLetter"/>
      <w:lvlText w:val="%1."/>
      <w:lvlJc w:val="left"/>
      <w:pPr>
        <w:ind w:left="1065" w:hanging="360"/>
      </w:pPr>
      <w:rPr>
        <w:rFonts w:asciiTheme="majorHAnsi" w:hAnsiTheme="majorHAnsi" w:cs="AvenirLTStd-Light"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64A31223"/>
    <w:multiLevelType w:val="hybridMultilevel"/>
    <w:tmpl w:val="E326CB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92A4605"/>
    <w:multiLevelType w:val="hybridMultilevel"/>
    <w:tmpl w:val="EF983794"/>
    <w:lvl w:ilvl="0" w:tplc="C958CF1C">
      <w:start w:val="1"/>
      <w:numFmt w:val="bullet"/>
      <w:lvlText w:val="-"/>
      <w:lvlJc w:val="left"/>
      <w:pPr>
        <w:ind w:left="720" w:hanging="360"/>
      </w:pPr>
      <w:rPr>
        <w:rFonts w:ascii="Calibri" w:eastAsia="AvenirLTStd-Light" w:hAnsi="Calibri" w:cs="AvenirLTStd-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524435"/>
    <w:multiLevelType w:val="hybridMultilevel"/>
    <w:tmpl w:val="1A1C065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D570358"/>
    <w:multiLevelType w:val="hybridMultilevel"/>
    <w:tmpl w:val="23863F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1"/>
  </w:num>
  <w:num w:numId="3">
    <w:abstractNumId w:val="3"/>
  </w:num>
  <w:num w:numId="4">
    <w:abstractNumId w:val="6"/>
  </w:num>
  <w:num w:numId="5">
    <w:abstractNumId w:val="1"/>
  </w:num>
  <w:num w:numId="6">
    <w:abstractNumId w:val="10"/>
  </w:num>
  <w:num w:numId="7">
    <w:abstractNumId w:val="9"/>
  </w:num>
  <w:num w:numId="8">
    <w:abstractNumId w:val="8"/>
  </w:num>
  <w:num w:numId="9">
    <w:abstractNumId w:val="0"/>
  </w:num>
  <w:num w:numId="10">
    <w:abstractNumId w:val="5"/>
  </w:num>
  <w:num w:numId="11">
    <w:abstractNumId w:val="4"/>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63"/>
    <w:rsid w:val="00004DE9"/>
    <w:rsid w:val="0000686C"/>
    <w:rsid w:val="000118D8"/>
    <w:rsid w:val="00012188"/>
    <w:rsid w:val="00026A23"/>
    <w:rsid w:val="00032796"/>
    <w:rsid w:val="00033065"/>
    <w:rsid w:val="00035F86"/>
    <w:rsid w:val="00050539"/>
    <w:rsid w:val="00057F44"/>
    <w:rsid w:val="000608B1"/>
    <w:rsid w:val="00066CAA"/>
    <w:rsid w:val="0007495B"/>
    <w:rsid w:val="0008676F"/>
    <w:rsid w:val="000937AA"/>
    <w:rsid w:val="00095979"/>
    <w:rsid w:val="000A0FAF"/>
    <w:rsid w:val="000A3CF2"/>
    <w:rsid w:val="000A4401"/>
    <w:rsid w:val="000A55B4"/>
    <w:rsid w:val="000A576E"/>
    <w:rsid w:val="000B353C"/>
    <w:rsid w:val="000B6806"/>
    <w:rsid w:val="000B69A8"/>
    <w:rsid w:val="000C2EDF"/>
    <w:rsid w:val="000C325F"/>
    <w:rsid w:val="000C563F"/>
    <w:rsid w:val="000D5388"/>
    <w:rsid w:val="000D64E4"/>
    <w:rsid w:val="000D6CB0"/>
    <w:rsid w:val="000E1F4A"/>
    <w:rsid w:val="000E2699"/>
    <w:rsid w:val="000E542A"/>
    <w:rsid w:val="000E7082"/>
    <w:rsid w:val="000F0E4D"/>
    <w:rsid w:val="000F1C63"/>
    <w:rsid w:val="000F446D"/>
    <w:rsid w:val="001079A6"/>
    <w:rsid w:val="00111828"/>
    <w:rsid w:val="00113ADE"/>
    <w:rsid w:val="0011496A"/>
    <w:rsid w:val="00120B0C"/>
    <w:rsid w:val="001222EE"/>
    <w:rsid w:val="00123544"/>
    <w:rsid w:val="00130337"/>
    <w:rsid w:val="00150DCF"/>
    <w:rsid w:val="00152F5A"/>
    <w:rsid w:val="00175639"/>
    <w:rsid w:val="001852A5"/>
    <w:rsid w:val="001853D2"/>
    <w:rsid w:val="001A1102"/>
    <w:rsid w:val="001A2C2C"/>
    <w:rsid w:val="001A2F7B"/>
    <w:rsid w:val="001A398A"/>
    <w:rsid w:val="001B223E"/>
    <w:rsid w:val="001B51AD"/>
    <w:rsid w:val="001B67D8"/>
    <w:rsid w:val="001B7B87"/>
    <w:rsid w:val="001C51F5"/>
    <w:rsid w:val="001C61E6"/>
    <w:rsid w:val="001C63A8"/>
    <w:rsid w:val="001D4FF4"/>
    <w:rsid w:val="001E6E81"/>
    <w:rsid w:val="001F70FB"/>
    <w:rsid w:val="00203C90"/>
    <w:rsid w:val="002079C6"/>
    <w:rsid w:val="00207A80"/>
    <w:rsid w:val="00211716"/>
    <w:rsid w:val="00212DD5"/>
    <w:rsid w:val="00221518"/>
    <w:rsid w:val="002248CB"/>
    <w:rsid w:val="00227A99"/>
    <w:rsid w:val="0023055C"/>
    <w:rsid w:val="00230DF1"/>
    <w:rsid w:val="00234814"/>
    <w:rsid w:val="00234872"/>
    <w:rsid w:val="00237C0D"/>
    <w:rsid w:val="00245FCA"/>
    <w:rsid w:val="0025199C"/>
    <w:rsid w:val="002546A1"/>
    <w:rsid w:val="00263E96"/>
    <w:rsid w:val="0027378D"/>
    <w:rsid w:val="00276F82"/>
    <w:rsid w:val="00280E50"/>
    <w:rsid w:val="00282949"/>
    <w:rsid w:val="00295420"/>
    <w:rsid w:val="002B07D9"/>
    <w:rsid w:val="002B3C03"/>
    <w:rsid w:val="002C410A"/>
    <w:rsid w:val="002C4E75"/>
    <w:rsid w:val="002F0AD4"/>
    <w:rsid w:val="002F0E2B"/>
    <w:rsid w:val="003010C4"/>
    <w:rsid w:val="00302505"/>
    <w:rsid w:val="00311750"/>
    <w:rsid w:val="003134C7"/>
    <w:rsid w:val="003216B8"/>
    <w:rsid w:val="00321F1C"/>
    <w:rsid w:val="003355A4"/>
    <w:rsid w:val="00341442"/>
    <w:rsid w:val="00341F40"/>
    <w:rsid w:val="003434C8"/>
    <w:rsid w:val="0034380C"/>
    <w:rsid w:val="00351D9A"/>
    <w:rsid w:val="0035566D"/>
    <w:rsid w:val="00356DAD"/>
    <w:rsid w:val="003635B2"/>
    <w:rsid w:val="00367F97"/>
    <w:rsid w:val="00367FB5"/>
    <w:rsid w:val="00375979"/>
    <w:rsid w:val="00376BEE"/>
    <w:rsid w:val="00381217"/>
    <w:rsid w:val="00383421"/>
    <w:rsid w:val="003848C8"/>
    <w:rsid w:val="00385050"/>
    <w:rsid w:val="00392FF9"/>
    <w:rsid w:val="00393B11"/>
    <w:rsid w:val="00396BE3"/>
    <w:rsid w:val="00397594"/>
    <w:rsid w:val="003A4293"/>
    <w:rsid w:val="003A6391"/>
    <w:rsid w:val="003B0473"/>
    <w:rsid w:val="003B1984"/>
    <w:rsid w:val="003B2279"/>
    <w:rsid w:val="003B3CE8"/>
    <w:rsid w:val="003B662E"/>
    <w:rsid w:val="003B763E"/>
    <w:rsid w:val="003C1D68"/>
    <w:rsid w:val="003C4801"/>
    <w:rsid w:val="003C5A51"/>
    <w:rsid w:val="003D1AE0"/>
    <w:rsid w:val="003E2E56"/>
    <w:rsid w:val="003F11EB"/>
    <w:rsid w:val="003F166F"/>
    <w:rsid w:val="003F1842"/>
    <w:rsid w:val="003F46AC"/>
    <w:rsid w:val="003F704F"/>
    <w:rsid w:val="0040079D"/>
    <w:rsid w:val="004031F2"/>
    <w:rsid w:val="00403723"/>
    <w:rsid w:val="00407412"/>
    <w:rsid w:val="0041589D"/>
    <w:rsid w:val="00417427"/>
    <w:rsid w:val="00422BF2"/>
    <w:rsid w:val="004255B5"/>
    <w:rsid w:val="004310D7"/>
    <w:rsid w:val="004319A3"/>
    <w:rsid w:val="0043285D"/>
    <w:rsid w:val="00433314"/>
    <w:rsid w:val="00435A28"/>
    <w:rsid w:val="0044596A"/>
    <w:rsid w:val="00453E7F"/>
    <w:rsid w:val="00455326"/>
    <w:rsid w:val="00463076"/>
    <w:rsid w:val="004645A5"/>
    <w:rsid w:val="00466379"/>
    <w:rsid w:val="00475117"/>
    <w:rsid w:val="00477E13"/>
    <w:rsid w:val="0048037C"/>
    <w:rsid w:val="00491F3F"/>
    <w:rsid w:val="0049511C"/>
    <w:rsid w:val="004A2C01"/>
    <w:rsid w:val="004B07EB"/>
    <w:rsid w:val="004B0F29"/>
    <w:rsid w:val="004B205C"/>
    <w:rsid w:val="004B3CE1"/>
    <w:rsid w:val="004C2710"/>
    <w:rsid w:val="004D0046"/>
    <w:rsid w:val="004D1289"/>
    <w:rsid w:val="004D1B2A"/>
    <w:rsid w:val="004D6689"/>
    <w:rsid w:val="004E1787"/>
    <w:rsid w:val="004E5D39"/>
    <w:rsid w:val="004E76C9"/>
    <w:rsid w:val="004E7A76"/>
    <w:rsid w:val="004F33C0"/>
    <w:rsid w:val="004F3739"/>
    <w:rsid w:val="004F46B7"/>
    <w:rsid w:val="004F6198"/>
    <w:rsid w:val="005015FE"/>
    <w:rsid w:val="00501DFF"/>
    <w:rsid w:val="00503132"/>
    <w:rsid w:val="005121B1"/>
    <w:rsid w:val="005127DA"/>
    <w:rsid w:val="00517829"/>
    <w:rsid w:val="00522C17"/>
    <w:rsid w:val="00527C3F"/>
    <w:rsid w:val="00527C42"/>
    <w:rsid w:val="0053359F"/>
    <w:rsid w:val="0053447E"/>
    <w:rsid w:val="00535C99"/>
    <w:rsid w:val="0054049D"/>
    <w:rsid w:val="00545297"/>
    <w:rsid w:val="005470DD"/>
    <w:rsid w:val="00547935"/>
    <w:rsid w:val="00551458"/>
    <w:rsid w:val="00551ABA"/>
    <w:rsid w:val="00554400"/>
    <w:rsid w:val="005566A6"/>
    <w:rsid w:val="0056129C"/>
    <w:rsid w:val="0056196C"/>
    <w:rsid w:val="005767B9"/>
    <w:rsid w:val="005770DF"/>
    <w:rsid w:val="00584ECF"/>
    <w:rsid w:val="005A198C"/>
    <w:rsid w:val="005A56A2"/>
    <w:rsid w:val="005A5F66"/>
    <w:rsid w:val="005A7AEB"/>
    <w:rsid w:val="005B2234"/>
    <w:rsid w:val="005B3FD0"/>
    <w:rsid w:val="005B5B7C"/>
    <w:rsid w:val="005D3D0D"/>
    <w:rsid w:val="005D45B2"/>
    <w:rsid w:val="005E4916"/>
    <w:rsid w:val="005E612E"/>
    <w:rsid w:val="005E627C"/>
    <w:rsid w:val="005E685F"/>
    <w:rsid w:val="005F6CF7"/>
    <w:rsid w:val="005F7BF0"/>
    <w:rsid w:val="00601661"/>
    <w:rsid w:val="00605096"/>
    <w:rsid w:val="00610FDB"/>
    <w:rsid w:val="00613BD4"/>
    <w:rsid w:val="006154BA"/>
    <w:rsid w:val="00620482"/>
    <w:rsid w:val="00622716"/>
    <w:rsid w:val="00625723"/>
    <w:rsid w:val="00630C41"/>
    <w:rsid w:val="006326D8"/>
    <w:rsid w:val="00632E55"/>
    <w:rsid w:val="00636CCA"/>
    <w:rsid w:val="00653452"/>
    <w:rsid w:val="00654476"/>
    <w:rsid w:val="00655828"/>
    <w:rsid w:val="006579C5"/>
    <w:rsid w:val="0066773F"/>
    <w:rsid w:val="00672AC4"/>
    <w:rsid w:val="0068140E"/>
    <w:rsid w:val="006868E4"/>
    <w:rsid w:val="006A2126"/>
    <w:rsid w:val="006A6C7A"/>
    <w:rsid w:val="006A7B56"/>
    <w:rsid w:val="006B2960"/>
    <w:rsid w:val="006B659D"/>
    <w:rsid w:val="006B76D1"/>
    <w:rsid w:val="006B7B5F"/>
    <w:rsid w:val="006B7C57"/>
    <w:rsid w:val="006C26D5"/>
    <w:rsid w:val="006C2FC2"/>
    <w:rsid w:val="006C5F3F"/>
    <w:rsid w:val="006E085B"/>
    <w:rsid w:val="006E3F3E"/>
    <w:rsid w:val="006E680D"/>
    <w:rsid w:val="006F30D1"/>
    <w:rsid w:val="006F4817"/>
    <w:rsid w:val="006F5718"/>
    <w:rsid w:val="006F7382"/>
    <w:rsid w:val="00700741"/>
    <w:rsid w:val="0070167A"/>
    <w:rsid w:val="00711A32"/>
    <w:rsid w:val="00711D14"/>
    <w:rsid w:val="007176D7"/>
    <w:rsid w:val="00721148"/>
    <w:rsid w:val="00726332"/>
    <w:rsid w:val="00731A45"/>
    <w:rsid w:val="00732D02"/>
    <w:rsid w:val="00732E98"/>
    <w:rsid w:val="007339CA"/>
    <w:rsid w:val="00736268"/>
    <w:rsid w:val="0073657D"/>
    <w:rsid w:val="00741560"/>
    <w:rsid w:val="007621F5"/>
    <w:rsid w:val="007624B9"/>
    <w:rsid w:val="00770AD7"/>
    <w:rsid w:val="007711D5"/>
    <w:rsid w:val="00785D78"/>
    <w:rsid w:val="0078671B"/>
    <w:rsid w:val="00790C2F"/>
    <w:rsid w:val="007B4930"/>
    <w:rsid w:val="007C1B37"/>
    <w:rsid w:val="007C50A7"/>
    <w:rsid w:val="007D6B34"/>
    <w:rsid w:val="007E6505"/>
    <w:rsid w:val="007F2B8D"/>
    <w:rsid w:val="008036C2"/>
    <w:rsid w:val="00810EC7"/>
    <w:rsid w:val="008137D8"/>
    <w:rsid w:val="00815A71"/>
    <w:rsid w:val="00816310"/>
    <w:rsid w:val="00820D96"/>
    <w:rsid w:val="00831190"/>
    <w:rsid w:val="00835078"/>
    <w:rsid w:val="008553FD"/>
    <w:rsid w:val="00857166"/>
    <w:rsid w:val="0086177E"/>
    <w:rsid w:val="00866244"/>
    <w:rsid w:val="00866AB3"/>
    <w:rsid w:val="00872E26"/>
    <w:rsid w:val="00885670"/>
    <w:rsid w:val="008928BD"/>
    <w:rsid w:val="008A4ADD"/>
    <w:rsid w:val="008A61FD"/>
    <w:rsid w:val="008A6B4D"/>
    <w:rsid w:val="008B087C"/>
    <w:rsid w:val="008B572E"/>
    <w:rsid w:val="008B6651"/>
    <w:rsid w:val="008D3E81"/>
    <w:rsid w:val="008D4050"/>
    <w:rsid w:val="008D758A"/>
    <w:rsid w:val="008E3639"/>
    <w:rsid w:val="008E3979"/>
    <w:rsid w:val="008E4C63"/>
    <w:rsid w:val="008E61BF"/>
    <w:rsid w:val="008F1646"/>
    <w:rsid w:val="008F1800"/>
    <w:rsid w:val="008F1814"/>
    <w:rsid w:val="008F2B79"/>
    <w:rsid w:val="00901CF7"/>
    <w:rsid w:val="00905B81"/>
    <w:rsid w:val="00912EA4"/>
    <w:rsid w:val="00914F2A"/>
    <w:rsid w:val="009246BF"/>
    <w:rsid w:val="009319A0"/>
    <w:rsid w:val="009344B3"/>
    <w:rsid w:val="00934A7B"/>
    <w:rsid w:val="00941EE4"/>
    <w:rsid w:val="00963F09"/>
    <w:rsid w:val="009646FB"/>
    <w:rsid w:val="009701D3"/>
    <w:rsid w:val="0097559A"/>
    <w:rsid w:val="00993F78"/>
    <w:rsid w:val="00994B11"/>
    <w:rsid w:val="009A54BD"/>
    <w:rsid w:val="009A66FD"/>
    <w:rsid w:val="009B0805"/>
    <w:rsid w:val="009B084B"/>
    <w:rsid w:val="009B79EE"/>
    <w:rsid w:val="009B7A41"/>
    <w:rsid w:val="009C2294"/>
    <w:rsid w:val="009C5311"/>
    <w:rsid w:val="009D3B40"/>
    <w:rsid w:val="009D4850"/>
    <w:rsid w:val="009D4FA5"/>
    <w:rsid w:val="009D70E9"/>
    <w:rsid w:val="009E028E"/>
    <w:rsid w:val="009E4A24"/>
    <w:rsid w:val="009F0F51"/>
    <w:rsid w:val="009F271A"/>
    <w:rsid w:val="009F28AF"/>
    <w:rsid w:val="009F711D"/>
    <w:rsid w:val="00A024A6"/>
    <w:rsid w:val="00A03136"/>
    <w:rsid w:val="00A21449"/>
    <w:rsid w:val="00A26511"/>
    <w:rsid w:val="00A319C0"/>
    <w:rsid w:val="00A344A2"/>
    <w:rsid w:val="00A52DA2"/>
    <w:rsid w:val="00A543FA"/>
    <w:rsid w:val="00A63615"/>
    <w:rsid w:val="00A66622"/>
    <w:rsid w:val="00A74916"/>
    <w:rsid w:val="00A772B4"/>
    <w:rsid w:val="00A83700"/>
    <w:rsid w:val="00A87923"/>
    <w:rsid w:val="00A942C7"/>
    <w:rsid w:val="00A97FC9"/>
    <w:rsid w:val="00AA0C93"/>
    <w:rsid w:val="00AC1069"/>
    <w:rsid w:val="00AD3EEC"/>
    <w:rsid w:val="00AE425F"/>
    <w:rsid w:val="00AE61FE"/>
    <w:rsid w:val="00B013D9"/>
    <w:rsid w:val="00B10119"/>
    <w:rsid w:val="00B142BB"/>
    <w:rsid w:val="00B226D5"/>
    <w:rsid w:val="00B22953"/>
    <w:rsid w:val="00B23013"/>
    <w:rsid w:val="00B30DC6"/>
    <w:rsid w:val="00B31AA1"/>
    <w:rsid w:val="00B3539D"/>
    <w:rsid w:val="00B36738"/>
    <w:rsid w:val="00B37F58"/>
    <w:rsid w:val="00B437BC"/>
    <w:rsid w:val="00B4621B"/>
    <w:rsid w:val="00B5204D"/>
    <w:rsid w:val="00B5403E"/>
    <w:rsid w:val="00B5619A"/>
    <w:rsid w:val="00B65658"/>
    <w:rsid w:val="00B70B6A"/>
    <w:rsid w:val="00B74862"/>
    <w:rsid w:val="00B75DFD"/>
    <w:rsid w:val="00B77601"/>
    <w:rsid w:val="00B862C1"/>
    <w:rsid w:val="00B86B19"/>
    <w:rsid w:val="00B87B84"/>
    <w:rsid w:val="00B93587"/>
    <w:rsid w:val="00BA159D"/>
    <w:rsid w:val="00BA4490"/>
    <w:rsid w:val="00BA485C"/>
    <w:rsid w:val="00BA7F6D"/>
    <w:rsid w:val="00BB149D"/>
    <w:rsid w:val="00BB4440"/>
    <w:rsid w:val="00BD2637"/>
    <w:rsid w:val="00BD41B2"/>
    <w:rsid w:val="00BE2651"/>
    <w:rsid w:val="00BE2D7F"/>
    <w:rsid w:val="00BE2FB6"/>
    <w:rsid w:val="00BE380B"/>
    <w:rsid w:val="00BE5421"/>
    <w:rsid w:val="00BE6822"/>
    <w:rsid w:val="00BE79A8"/>
    <w:rsid w:val="00BE7E7C"/>
    <w:rsid w:val="00BF687A"/>
    <w:rsid w:val="00C0040F"/>
    <w:rsid w:val="00C03623"/>
    <w:rsid w:val="00C0644C"/>
    <w:rsid w:val="00C07F5A"/>
    <w:rsid w:val="00C22813"/>
    <w:rsid w:val="00C302C5"/>
    <w:rsid w:val="00C32A6E"/>
    <w:rsid w:val="00C35540"/>
    <w:rsid w:val="00C35807"/>
    <w:rsid w:val="00C35F19"/>
    <w:rsid w:val="00C36AFC"/>
    <w:rsid w:val="00C3765E"/>
    <w:rsid w:val="00C41A59"/>
    <w:rsid w:val="00C5594D"/>
    <w:rsid w:val="00C60DB3"/>
    <w:rsid w:val="00C63195"/>
    <w:rsid w:val="00C66092"/>
    <w:rsid w:val="00C700F4"/>
    <w:rsid w:val="00C769AB"/>
    <w:rsid w:val="00C855F0"/>
    <w:rsid w:val="00C90553"/>
    <w:rsid w:val="00C91682"/>
    <w:rsid w:val="00C96B66"/>
    <w:rsid w:val="00C97124"/>
    <w:rsid w:val="00CA38EF"/>
    <w:rsid w:val="00CA692E"/>
    <w:rsid w:val="00CA7104"/>
    <w:rsid w:val="00CA7F2A"/>
    <w:rsid w:val="00CB2C18"/>
    <w:rsid w:val="00CB43D0"/>
    <w:rsid w:val="00CC35A1"/>
    <w:rsid w:val="00CC496B"/>
    <w:rsid w:val="00CC4B04"/>
    <w:rsid w:val="00CC63B3"/>
    <w:rsid w:val="00CC730E"/>
    <w:rsid w:val="00CD7A66"/>
    <w:rsid w:val="00CE05AB"/>
    <w:rsid w:val="00CE49CB"/>
    <w:rsid w:val="00CF1A05"/>
    <w:rsid w:val="00CF3188"/>
    <w:rsid w:val="00CF3758"/>
    <w:rsid w:val="00D016CD"/>
    <w:rsid w:val="00D01A61"/>
    <w:rsid w:val="00D06765"/>
    <w:rsid w:val="00D11B1A"/>
    <w:rsid w:val="00D1578C"/>
    <w:rsid w:val="00D16722"/>
    <w:rsid w:val="00D21EB1"/>
    <w:rsid w:val="00D26F90"/>
    <w:rsid w:val="00D30879"/>
    <w:rsid w:val="00D32595"/>
    <w:rsid w:val="00D347E7"/>
    <w:rsid w:val="00D372AA"/>
    <w:rsid w:val="00D44471"/>
    <w:rsid w:val="00D45EC6"/>
    <w:rsid w:val="00D510FF"/>
    <w:rsid w:val="00D5399B"/>
    <w:rsid w:val="00D5489C"/>
    <w:rsid w:val="00D6148D"/>
    <w:rsid w:val="00D6362E"/>
    <w:rsid w:val="00D64BFA"/>
    <w:rsid w:val="00D709F7"/>
    <w:rsid w:val="00D74CBF"/>
    <w:rsid w:val="00D75C5B"/>
    <w:rsid w:val="00D83020"/>
    <w:rsid w:val="00D84D7E"/>
    <w:rsid w:val="00D90302"/>
    <w:rsid w:val="00D9479D"/>
    <w:rsid w:val="00D95FBF"/>
    <w:rsid w:val="00D960AE"/>
    <w:rsid w:val="00DA26F5"/>
    <w:rsid w:val="00DA2E36"/>
    <w:rsid w:val="00DA2FB1"/>
    <w:rsid w:val="00DA4A54"/>
    <w:rsid w:val="00DB063D"/>
    <w:rsid w:val="00DB19E3"/>
    <w:rsid w:val="00DB6B46"/>
    <w:rsid w:val="00DC12A0"/>
    <w:rsid w:val="00DC1B7E"/>
    <w:rsid w:val="00DC3382"/>
    <w:rsid w:val="00DC52DB"/>
    <w:rsid w:val="00DE0685"/>
    <w:rsid w:val="00DE15CB"/>
    <w:rsid w:val="00DF2373"/>
    <w:rsid w:val="00DF57B3"/>
    <w:rsid w:val="00DF5D8E"/>
    <w:rsid w:val="00E02576"/>
    <w:rsid w:val="00E026DB"/>
    <w:rsid w:val="00E03163"/>
    <w:rsid w:val="00E07283"/>
    <w:rsid w:val="00E1008D"/>
    <w:rsid w:val="00E15304"/>
    <w:rsid w:val="00E20620"/>
    <w:rsid w:val="00E20B88"/>
    <w:rsid w:val="00E22C41"/>
    <w:rsid w:val="00E22E12"/>
    <w:rsid w:val="00E2417C"/>
    <w:rsid w:val="00E2662E"/>
    <w:rsid w:val="00E30423"/>
    <w:rsid w:val="00E41858"/>
    <w:rsid w:val="00E429C5"/>
    <w:rsid w:val="00E44FC4"/>
    <w:rsid w:val="00E4607C"/>
    <w:rsid w:val="00E53D4F"/>
    <w:rsid w:val="00E55875"/>
    <w:rsid w:val="00E57D29"/>
    <w:rsid w:val="00E62532"/>
    <w:rsid w:val="00E72978"/>
    <w:rsid w:val="00E80612"/>
    <w:rsid w:val="00E83349"/>
    <w:rsid w:val="00E9022E"/>
    <w:rsid w:val="00E96CCE"/>
    <w:rsid w:val="00EA1C88"/>
    <w:rsid w:val="00EA4B35"/>
    <w:rsid w:val="00EA50C6"/>
    <w:rsid w:val="00EB03F5"/>
    <w:rsid w:val="00EC0FE0"/>
    <w:rsid w:val="00EC10D7"/>
    <w:rsid w:val="00EC152F"/>
    <w:rsid w:val="00EC193E"/>
    <w:rsid w:val="00EC2344"/>
    <w:rsid w:val="00EC2A03"/>
    <w:rsid w:val="00EC607A"/>
    <w:rsid w:val="00ED1D19"/>
    <w:rsid w:val="00ED23F7"/>
    <w:rsid w:val="00ED4477"/>
    <w:rsid w:val="00EE123F"/>
    <w:rsid w:val="00EE21F3"/>
    <w:rsid w:val="00EE3EE3"/>
    <w:rsid w:val="00EE5BC7"/>
    <w:rsid w:val="00EE68C5"/>
    <w:rsid w:val="00EE6E8B"/>
    <w:rsid w:val="00EF6E3A"/>
    <w:rsid w:val="00F04B82"/>
    <w:rsid w:val="00F05174"/>
    <w:rsid w:val="00F05869"/>
    <w:rsid w:val="00F0716D"/>
    <w:rsid w:val="00F168DD"/>
    <w:rsid w:val="00F21C33"/>
    <w:rsid w:val="00F24351"/>
    <w:rsid w:val="00F26298"/>
    <w:rsid w:val="00F336E6"/>
    <w:rsid w:val="00F41699"/>
    <w:rsid w:val="00F42A55"/>
    <w:rsid w:val="00F51262"/>
    <w:rsid w:val="00F53396"/>
    <w:rsid w:val="00F5450B"/>
    <w:rsid w:val="00F5659F"/>
    <w:rsid w:val="00F653A2"/>
    <w:rsid w:val="00F715C3"/>
    <w:rsid w:val="00F71FBA"/>
    <w:rsid w:val="00F723A4"/>
    <w:rsid w:val="00F76418"/>
    <w:rsid w:val="00F92819"/>
    <w:rsid w:val="00F92ECA"/>
    <w:rsid w:val="00F96B45"/>
    <w:rsid w:val="00FA3878"/>
    <w:rsid w:val="00FB3865"/>
    <w:rsid w:val="00FB4FC4"/>
    <w:rsid w:val="00FC5657"/>
    <w:rsid w:val="00FD7108"/>
    <w:rsid w:val="00FE300F"/>
    <w:rsid w:val="00FE67AB"/>
    <w:rsid w:val="00FE71E5"/>
    <w:rsid w:val="00FF07B6"/>
    <w:rsid w:val="00FF3F26"/>
    <w:rsid w:val="00FF4644"/>
    <w:rsid w:val="00FF6D2E"/>
    <w:rsid w:val="00FF6D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2CC29D"/>
  <w15:docId w15:val="{1539C355-83D6-4742-967A-9EA5CAE0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3C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FBA"/>
    <w:pPr>
      <w:ind w:left="720"/>
      <w:contextualSpacing/>
    </w:pPr>
  </w:style>
  <w:style w:type="paragraph" w:styleId="Koptekst">
    <w:name w:val="header"/>
    <w:basedOn w:val="Standaard"/>
    <w:link w:val="KoptekstChar"/>
    <w:uiPriority w:val="99"/>
    <w:unhideWhenUsed/>
    <w:rsid w:val="006E68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E680D"/>
  </w:style>
  <w:style w:type="paragraph" w:styleId="Voettekst">
    <w:name w:val="footer"/>
    <w:basedOn w:val="Standaard"/>
    <w:link w:val="VoettekstChar"/>
    <w:uiPriority w:val="99"/>
    <w:unhideWhenUsed/>
    <w:rsid w:val="006E68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E680D"/>
  </w:style>
  <w:style w:type="paragraph" w:styleId="Ballontekst">
    <w:name w:val="Balloon Text"/>
    <w:basedOn w:val="Standaard"/>
    <w:link w:val="BallontekstChar"/>
    <w:uiPriority w:val="99"/>
    <w:semiHidden/>
    <w:unhideWhenUsed/>
    <w:rsid w:val="006E68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80D"/>
    <w:rPr>
      <w:rFonts w:ascii="Tahoma" w:hAnsi="Tahoma" w:cs="Tahoma"/>
      <w:sz w:val="16"/>
      <w:szCs w:val="16"/>
    </w:rPr>
  </w:style>
  <w:style w:type="character" w:styleId="Verwijzingopmerking">
    <w:name w:val="annotation reference"/>
    <w:basedOn w:val="Standaardalinea-lettertype"/>
    <w:uiPriority w:val="99"/>
    <w:semiHidden/>
    <w:unhideWhenUsed/>
    <w:rsid w:val="00B5403E"/>
    <w:rPr>
      <w:sz w:val="16"/>
      <w:szCs w:val="16"/>
    </w:rPr>
  </w:style>
  <w:style w:type="paragraph" w:styleId="Tekstopmerking">
    <w:name w:val="annotation text"/>
    <w:basedOn w:val="Standaard"/>
    <w:link w:val="TekstopmerkingChar"/>
    <w:uiPriority w:val="99"/>
    <w:semiHidden/>
    <w:unhideWhenUsed/>
    <w:rsid w:val="00B540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403E"/>
    <w:rPr>
      <w:sz w:val="20"/>
      <w:szCs w:val="20"/>
    </w:rPr>
  </w:style>
  <w:style w:type="paragraph" w:styleId="Onderwerpvanopmerking">
    <w:name w:val="annotation subject"/>
    <w:basedOn w:val="Tekstopmerking"/>
    <w:next w:val="Tekstopmerking"/>
    <w:link w:val="OnderwerpvanopmerkingChar"/>
    <w:uiPriority w:val="99"/>
    <w:semiHidden/>
    <w:unhideWhenUsed/>
    <w:rsid w:val="00B5403E"/>
    <w:rPr>
      <w:b/>
      <w:bCs/>
    </w:rPr>
  </w:style>
  <w:style w:type="character" w:customStyle="1" w:styleId="OnderwerpvanopmerkingChar">
    <w:name w:val="Onderwerp van opmerking Char"/>
    <w:basedOn w:val="TekstopmerkingChar"/>
    <w:link w:val="Onderwerpvanopmerking"/>
    <w:uiPriority w:val="99"/>
    <w:semiHidden/>
    <w:rsid w:val="00B5403E"/>
    <w:rPr>
      <w:b/>
      <w:bCs/>
      <w:sz w:val="20"/>
      <w:szCs w:val="20"/>
    </w:rPr>
  </w:style>
  <w:style w:type="table" w:styleId="Tabelraster">
    <w:name w:val="Table Grid"/>
    <w:basedOn w:val="Standaardtabel"/>
    <w:rsid w:val="00CF37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E4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C0C4-8A38-4D3C-A5B7-B8D80349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1462</Words>
  <Characters>8043</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Geest, A.M. van der (PHEG)</dc:creator>
  <cp:lastModifiedBy>Eveline Muller</cp:lastModifiedBy>
  <cp:revision>3</cp:revision>
  <cp:lastPrinted>2018-02-08T09:41:00Z</cp:lastPrinted>
  <dcterms:created xsi:type="dcterms:W3CDTF">2019-07-18T12:40:00Z</dcterms:created>
  <dcterms:modified xsi:type="dcterms:W3CDTF">2019-07-18T12:42:00Z</dcterms:modified>
</cp:coreProperties>
</file>